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3056" w14:textId="77777777" w:rsidR="002147B3" w:rsidRDefault="002147B3" w:rsidP="002147B3"/>
    <w:p w14:paraId="0AEB2105" w14:textId="5B244C32" w:rsidR="002147B3" w:rsidRPr="0062626B" w:rsidRDefault="002147B3" w:rsidP="002147B3">
      <w:pPr>
        <w:pStyle w:val="3Policytitle"/>
        <w:jc w:val="center"/>
      </w:pPr>
      <w:r>
        <w:t>Examinations Conflict of Interest Policy</w:t>
      </w:r>
    </w:p>
    <w:p w14:paraId="795E851E" w14:textId="77777777" w:rsidR="002147B3" w:rsidRPr="004B4A2F" w:rsidRDefault="002147B3" w:rsidP="002147B3">
      <w:pPr>
        <w:pStyle w:val="6Abstract"/>
        <w:jc w:val="center"/>
        <w:rPr>
          <w:b/>
          <w:bCs/>
          <w:color w:val="FF0000"/>
          <w:sz w:val="56"/>
          <w:szCs w:val="56"/>
        </w:rPr>
      </w:pPr>
      <w:r w:rsidRPr="004B4A2F">
        <w:rPr>
          <w:b/>
          <w:bCs/>
          <w:color w:val="FF0000"/>
          <w:sz w:val="56"/>
          <w:szCs w:val="56"/>
        </w:rPr>
        <w:t>Manchester Vocational and Learning Academy</w:t>
      </w:r>
    </w:p>
    <w:p w14:paraId="3A25DAF7" w14:textId="77777777" w:rsidR="002147B3" w:rsidRPr="001118BF" w:rsidRDefault="002147B3" w:rsidP="002147B3">
      <w:pPr>
        <w:pStyle w:val="1bodycopy10pt"/>
      </w:pPr>
    </w:p>
    <w:p w14:paraId="594E145D" w14:textId="77777777" w:rsidR="002147B3" w:rsidRDefault="002147B3" w:rsidP="002147B3">
      <w:pPr>
        <w:pStyle w:val="1bodycopy10pt"/>
        <w:rPr>
          <w:noProof/>
          <w:color w:val="00CF80"/>
          <w:szCs w:val="20"/>
        </w:rPr>
      </w:pPr>
    </w:p>
    <w:p w14:paraId="23701D70" w14:textId="77777777" w:rsidR="002147B3" w:rsidRDefault="002147B3" w:rsidP="002147B3">
      <w:pPr>
        <w:pStyle w:val="1bodycopy10pt"/>
        <w:rPr>
          <w:noProof/>
        </w:rPr>
      </w:pPr>
    </w:p>
    <w:p w14:paraId="1F260983" w14:textId="77777777" w:rsidR="002147B3" w:rsidRDefault="002147B3" w:rsidP="002147B3">
      <w:pPr>
        <w:pStyle w:val="1bodycopy10pt"/>
        <w:rPr>
          <w:noProof/>
        </w:rPr>
      </w:pPr>
    </w:p>
    <w:p w14:paraId="1147A66F" w14:textId="77777777" w:rsidR="002147B3" w:rsidRPr="0001772B" w:rsidRDefault="002147B3" w:rsidP="002147B3">
      <w:pPr>
        <w:pStyle w:val="1bodycopy10pt"/>
      </w:pPr>
    </w:p>
    <w:p w14:paraId="04C89A83" w14:textId="77777777" w:rsidR="002147B3" w:rsidRDefault="002147B3" w:rsidP="002147B3">
      <w:pPr>
        <w:pStyle w:val="1bodycopy10pt"/>
        <w:jc w:val="center"/>
      </w:pPr>
      <w:r w:rsidRPr="000E3284">
        <w:rPr>
          <w:noProof/>
        </w:rPr>
        <w:drawing>
          <wp:inline distT="0" distB="0" distL="0" distR="0" wp14:anchorId="78AF55C5" wp14:editId="797A6172">
            <wp:extent cx="5238115" cy="3279775"/>
            <wp:effectExtent l="0" t="0" r="0" b="0"/>
            <wp:docPr id="2" name="Picture 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115" cy="3279775"/>
                    </a:xfrm>
                    <a:prstGeom prst="rect">
                      <a:avLst/>
                    </a:prstGeom>
                    <a:noFill/>
                    <a:ln>
                      <a:noFill/>
                    </a:ln>
                  </pic:spPr>
                </pic:pic>
              </a:graphicData>
            </a:graphic>
          </wp:inline>
        </w:drawing>
      </w:r>
    </w:p>
    <w:p w14:paraId="1EDC512F" w14:textId="77777777" w:rsidR="002147B3" w:rsidRDefault="002147B3" w:rsidP="002147B3">
      <w:pPr>
        <w:pStyle w:val="1bodycopy10pt"/>
      </w:pPr>
    </w:p>
    <w:p w14:paraId="05233764" w14:textId="77777777" w:rsidR="002147B3" w:rsidRDefault="002147B3" w:rsidP="002147B3">
      <w:pPr>
        <w:pStyle w:val="1bodycopy10pt"/>
      </w:pPr>
    </w:p>
    <w:p w14:paraId="3310BD76" w14:textId="77777777" w:rsidR="002147B3" w:rsidRDefault="002147B3" w:rsidP="002147B3">
      <w:pPr>
        <w:pStyle w:val="1bodycopy10pt"/>
      </w:pPr>
    </w:p>
    <w:p w14:paraId="2441324F" w14:textId="77777777" w:rsidR="002147B3" w:rsidRPr="00ED4599" w:rsidRDefault="002147B3" w:rsidP="002147B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147B3" w:rsidRPr="00DA50A5" w14:paraId="32B7515E" w14:textId="77777777" w:rsidTr="005960FD">
        <w:tc>
          <w:tcPr>
            <w:tcW w:w="2586" w:type="dxa"/>
            <w:tcBorders>
              <w:top w:val="nil"/>
              <w:bottom w:val="single" w:sz="18" w:space="0" w:color="FFFFFF"/>
            </w:tcBorders>
            <w:shd w:val="clear" w:color="auto" w:fill="D8DFDE"/>
          </w:tcPr>
          <w:p w14:paraId="7433BD63" w14:textId="77777777" w:rsidR="002147B3" w:rsidRPr="0062626B" w:rsidRDefault="002147B3" w:rsidP="005960FD">
            <w:pPr>
              <w:pStyle w:val="1bodycopy10pt"/>
              <w:rPr>
                <w:b/>
              </w:rPr>
            </w:pPr>
            <w:r w:rsidRPr="0062626B">
              <w:rPr>
                <w:b/>
              </w:rPr>
              <w:t>Approved by:</w:t>
            </w:r>
          </w:p>
        </w:tc>
        <w:tc>
          <w:tcPr>
            <w:tcW w:w="3268" w:type="dxa"/>
            <w:tcBorders>
              <w:top w:val="nil"/>
              <w:bottom w:val="single" w:sz="18" w:space="0" w:color="FFFFFF"/>
            </w:tcBorders>
            <w:shd w:val="clear" w:color="auto" w:fill="D8DFDE"/>
          </w:tcPr>
          <w:p w14:paraId="7FF5841C" w14:textId="77777777" w:rsidR="002147B3" w:rsidRPr="004B4A2F" w:rsidRDefault="002147B3" w:rsidP="005960FD">
            <w:pPr>
              <w:pStyle w:val="1bodycopy11pt"/>
            </w:pPr>
            <w:r w:rsidRPr="004B4A2F">
              <w:t>Linda Guest</w:t>
            </w:r>
          </w:p>
        </w:tc>
        <w:tc>
          <w:tcPr>
            <w:tcW w:w="3866" w:type="dxa"/>
            <w:tcBorders>
              <w:top w:val="nil"/>
              <w:bottom w:val="single" w:sz="18" w:space="0" w:color="FFFFFF"/>
            </w:tcBorders>
            <w:shd w:val="clear" w:color="auto" w:fill="D8DFDE"/>
          </w:tcPr>
          <w:p w14:paraId="08DA1DD6" w14:textId="77777777" w:rsidR="002147B3" w:rsidRPr="00DA50A5" w:rsidRDefault="002147B3" w:rsidP="005960FD">
            <w:pPr>
              <w:pStyle w:val="1bodycopy11pt"/>
            </w:pPr>
          </w:p>
        </w:tc>
      </w:tr>
      <w:tr w:rsidR="002147B3" w:rsidRPr="00DA50A5" w14:paraId="2B8AAB36" w14:textId="77777777" w:rsidTr="005960FD">
        <w:tc>
          <w:tcPr>
            <w:tcW w:w="2586" w:type="dxa"/>
            <w:tcBorders>
              <w:top w:val="single" w:sz="18" w:space="0" w:color="FFFFFF"/>
              <w:bottom w:val="single" w:sz="18" w:space="0" w:color="FFFFFF"/>
            </w:tcBorders>
            <w:shd w:val="clear" w:color="auto" w:fill="D8DFDE"/>
          </w:tcPr>
          <w:p w14:paraId="3DB94696" w14:textId="77777777" w:rsidR="002147B3" w:rsidRPr="0062626B" w:rsidRDefault="002147B3" w:rsidP="005960FD">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D5AE41" w14:textId="538518C3" w:rsidR="002147B3" w:rsidRPr="004B4A2F" w:rsidRDefault="002147B3" w:rsidP="005960FD">
            <w:pPr>
              <w:pStyle w:val="1bodycopy11pt"/>
            </w:pPr>
            <w:r>
              <w:t>1st</w:t>
            </w:r>
            <w:r w:rsidRPr="004B4A2F">
              <w:t xml:space="preserve"> September 202</w:t>
            </w:r>
            <w:r w:rsidR="001422AE">
              <w:t>5</w:t>
            </w:r>
          </w:p>
        </w:tc>
      </w:tr>
      <w:tr w:rsidR="002147B3" w:rsidRPr="00DA50A5" w14:paraId="03C6B235" w14:textId="77777777" w:rsidTr="005960FD">
        <w:tc>
          <w:tcPr>
            <w:tcW w:w="2586" w:type="dxa"/>
            <w:tcBorders>
              <w:top w:val="single" w:sz="18" w:space="0" w:color="FFFFFF"/>
              <w:bottom w:val="nil"/>
            </w:tcBorders>
            <w:shd w:val="clear" w:color="auto" w:fill="D8DFDE"/>
          </w:tcPr>
          <w:p w14:paraId="01D707EB" w14:textId="77777777" w:rsidR="002147B3" w:rsidRPr="0062626B" w:rsidRDefault="002147B3" w:rsidP="005960FD">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315778EC" w14:textId="75817052" w:rsidR="002147B3" w:rsidRPr="004B4A2F" w:rsidRDefault="002147B3" w:rsidP="005960FD">
            <w:pPr>
              <w:pStyle w:val="1bodycopy11pt"/>
            </w:pPr>
            <w:r w:rsidRPr="004B4A2F">
              <w:t>September 202</w:t>
            </w:r>
            <w:r w:rsidR="001422AE">
              <w:t>6</w:t>
            </w:r>
          </w:p>
        </w:tc>
      </w:tr>
    </w:tbl>
    <w:p w14:paraId="66EE132C" w14:textId="3A349B6B" w:rsidR="00EE4076" w:rsidRPr="00440C78" w:rsidRDefault="00EE4076" w:rsidP="00EE4076">
      <w:pPr>
        <w:rPr>
          <w:rFonts w:cstheme="minorHAnsi"/>
        </w:rPr>
      </w:pPr>
    </w:p>
    <w:p w14:paraId="149506B9"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lastRenderedPageBreak/>
        <w:t>1. Purpose of the Policy</w:t>
      </w:r>
      <w:r w:rsidRPr="00440C78">
        <w:rPr>
          <w:rFonts w:eastAsia="Times New Roman" w:cstheme="minorHAnsi"/>
          <w:color w:val="000000"/>
          <w:lang w:eastAsia="en-GB"/>
        </w:rPr>
        <w:br/>
        <w:t>This policy aims to ensure that all individuals involved in the administration, delivery, or oversight of examinations are free from any actual, potential, or perceived conflicts of interest that could compromise the integrity, fairness, or credibility of the examination process.</w:t>
      </w:r>
    </w:p>
    <w:p w14:paraId="342F9E35"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2. Scope</w:t>
      </w:r>
      <w:r w:rsidRPr="00440C78">
        <w:rPr>
          <w:rFonts w:eastAsia="Times New Roman" w:cstheme="minorHAnsi"/>
          <w:color w:val="000000"/>
          <w:lang w:eastAsia="en-GB"/>
        </w:rPr>
        <w:br/>
        <w:t>This policy applies to:</w:t>
      </w:r>
    </w:p>
    <w:p w14:paraId="21D5172B" w14:textId="77777777" w:rsidR="00440C78" w:rsidRPr="00440C78" w:rsidRDefault="00440C78" w:rsidP="00440C78">
      <w:pPr>
        <w:numPr>
          <w:ilvl w:val="0"/>
          <w:numId w:val="26"/>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Examination centres</w:t>
      </w:r>
    </w:p>
    <w:p w14:paraId="06E6A424" w14:textId="77777777" w:rsidR="00440C78" w:rsidRPr="00440C78" w:rsidRDefault="00440C78" w:rsidP="00440C78">
      <w:pPr>
        <w:numPr>
          <w:ilvl w:val="0"/>
          <w:numId w:val="26"/>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Staff, including invigilators, assessors, and administrators</w:t>
      </w:r>
    </w:p>
    <w:p w14:paraId="5933B28C" w14:textId="77777777" w:rsidR="00440C78" w:rsidRPr="00440C78" w:rsidRDefault="00440C78" w:rsidP="00440C78">
      <w:pPr>
        <w:numPr>
          <w:ilvl w:val="0"/>
          <w:numId w:val="26"/>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Exam boards and awarding organisations</w:t>
      </w:r>
    </w:p>
    <w:p w14:paraId="2F558AEA" w14:textId="77777777" w:rsidR="00440C78" w:rsidRPr="00440C78" w:rsidRDefault="00440C78" w:rsidP="00440C78">
      <w:pPr>
        <w:numPr>
          <w:ilvl w:val="0"/>
          <w:numId w:val="26"/>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Candidates and their families or representatives</w:t>
      </w:r>
    </w:p>
    <w:p w14:paraId="7FBEF59E" w14:textId="4D29A4B0"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3. Definition of a Conflict of Interest</w:t>
      </w:r>
      <w:r w:rsidRPr="00440C78">
        <w:rPr>
          <w:rFonts w:eastAsia="Times New Roman" w:cstheme="minorHAnsi"/>
          <w:color w:val="000000"/>
          <w:lang w:eastAsia="en-GB"/>
        </w:rPr>
        <w:br/>
        <w:t>A conflict of interest arises when an individual’s personal, financial, or professional relationships or circumstances could interfere, or be perceived to interfere, with their ability to perform their role impartially. Examples include</w:t>
      </w:r>
      <w:r>
        <w:rPr>
          <w:rFonts w:eastAsia="Times New Roman" w:cstheme="minorHAnsi"/>
          <w:color w:val="000000"/>
          <w:lang w:eastAsia="en-GB"/>
        </w:rPr>
        <w:t xml:space="preserve"> but are not limited to</w:t>
      </w:r>
      <w:r w:rsidRPr="00440C78">
        <w:rPr>
          <w:rFonts w:eastAsia="Times New Roman" w:cstheme="minorHAnsi"/>
          <w:color w:val="000000"/>
          <w:lang w:eastAsia="en-GB"/>
        </w:rPr>
        <w:t>:</w:t>
      </w:r>
    </w:p>
    <w:p w14:paraId="5BE19A98" w14:textId="77777777" w:rsidR="00440C78" w:rsidRPr="00440C78" w:rsidRDefault="00440C78" w:rsidP="00440C78">
      <w:pPr>
        <w:numPr>
          <w:ilvl w:val="0"/>
          <w:numId w:val="27"/>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 staff member involved in the examination process who is related to or has a close personal relationship with a candidate.</w:t>
      </w:r>
    </w:p>
    <w:p w14:paraId="78F49E25" w14:textId="4F001890" w:rsidR="00440C78" w:rsidRPr="00440C78" w:rsidRDefault="00440C78" w:rsidP="00440C78">
      <w:pPr>
        <w:numPr>
          <w:ilvl w:val="0"/>
          <w:numId w:val="27"/>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An in</w:t>
      </w:r>
      <w:r w:rsidR="00125F44">
        <w:rPr>
          <w:rFonts w:eastAsia="Times New Roman" w:cstheme="minorHAnsi"/>
          <w:color w:val="000000"/>
          <w:lang w:eastAsia="en-GB"/>
        </w:rPr>
        <w:t>dividual</w:t>
      </w:r>
      <w:r w:rsidRPr="00440C78">
        <w:rPr>
          <w:rFonts w:eastAsia="Times New Roman" w:cstheme="minorHAnsi"/>
          <w:color w:val="000000"/>
          <w:lang w:eastAsia="en-GB"/>
        </w:rPr>
        <w:t xml:space="preserve"> with a financial interest in the outcome of a candidate's results.</w:t>
      </w:r>
    </w:p>
    <w:p w14:paraId="5B63E4FB" w14:textId="1A154592" w:rsidR="00440C78" w:rsidRPr="00440C78" w:rsidRDefault="00440C78" w:rsidP="00440C78">
      <w:pPr>
        <w:numPr>
          <w:ilvl w:val="0"/>
          <w:numId w:val="27"/>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 xml:space="preserve">An employee </w:t>
      </w:r>
      <w:r w:rsidR="00125F44">
        <w:rPr>
          <w:rFonts w:eastAsia="Times New Roman" w:cstheme="minorHAnsi"/>
          <w:color w:val="000000"/>
          <w:lang w:eastAsia="en-GB"/>
        </w:rPr>
        <w:t>who is approached to</w:t>
      </w:r>
      <w:r w:rsidRPr="00440C78">
        <w:rPr>
          <w:rFonts w:eastAsia="Times New Roman" w:cstheme="minorHAnsi"/>
          <w:color w:val="000000"/>
          <w:lang w:eastAsia="en-GB"/>
        </w:rPr>
        <w:t xml:space="preserve"> provide private tutoring to candidates.</w:t>
      </w:r>
    </w:p>
    <w:p w14:paraId="22544E9F" w14:textId="77777777" w:rsidR="00440C78" w:rsidRPr="00440C78" w:rsidRDefault="00440C78" w:rsidP="00440C78">
      <w:pPr>
        <w:numPr>
          <w:ilvl w:val="0"/>
          <w:numId w:val="27"/>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Any instance where a staff member stands to gain personally from the outcome of an examination.</w:t>
      </w:r>
    </w:p>
    <w:p w14:paraId="1758F0A6"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4. Responsibilities</w:t>
      </w:r>
      <w:r w:rsidRPr="00440C78">
        <w:rPr>
          <w:rFonts w:eastAsia="Times New Roman" w:cstheme="minorHAnsi"/>
          <w:color w:val="000000"/>
          <w:lang w:eastAsia="en-GB"/>
        </w:rPr>
        <w:br/>
        <w:t>All individuals covered by this policy must:</w:t>
      </w:r>
    </w:p>
    <w:p w14:paraId="4A14BD56" w14:textId="77777777" w:rsidR="00440C78" w:rsidRPr="00440C78" w:rsidRDefault="00440C78" w:rsidP="00440C78">
      <w:pPr>
        <w:numPr>
          <w:ilvl w:val="0"/>
          <w:numId w:val="28"/>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Disclose any actual, potential, or perceived conflicts of interest promptly to their supervisor or designated authority.</w:t>
      </w:r>
    </w:p>
    <w:p w14:paraId="18B06C74" w14:textId="77777777" w:rsidR="00440C78" w:rsidRPr="00440C78" w:rsidRDefault="00440C78" w:rsidP="00440C78">
      <w:pPr>
        <w:numPr>
          <w:ilvl w:val="0"/>
          <w:numId w:val="28"/>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Actively avoid situations that could create conflicts of interest wherever possible.</w:t>
      </w:r>
    </w:p>
    <w:p w14:paraId="433D5A4F" w14:textId="3D1AA165" w:rsidR="00440C78" w:rsidRDefault="00440C78" w:rsidP="00440C78">
      <w:pPr>
        <w:numPr>
          <w:ilvl w:val="0"/>
          <w:numId w:val="28"/>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Adhere to the procedures outlined in this policy for managing conflicts of interest.</w:t>
      </w:r>
    </w:p>
    <w:p w14:paraId="41AE71BD" w14:textId="5E67B9F6" w:rsidR="00125F44" w:rsidRPr="00440C78" w:rsidRDefault="00125F44" w:rsidP="00440C78">
      <w:pPr>
        <w:numPr>
          <w:ilvl w:val="0"/>
          <w:numId w:val="28"/>
        </w:numPr>
        <w:spacing w:before="100" w:beforeAutospacing="1" w:after="100" w:afterAutospacing="1"/>
        <w:rPr>
          <w:rFonts w:eastAsia="Times New Roman" w:cstheme="minorHAnsi"/>
          <w:color w:val="000000"/>
          <w:lang w:eastAsia="en-GB"/>
        </w:rPr>
      </w:pPr>
      <w:r>
        <w:rPr>
          <w:rFonts w:eastAsia="Times New Roman" w:cstheme="minorHAnsi"/>
          <w:color w:val="000000"/>
          <w:lang w:eastAsia="en-GB"/>
        </w:rPr>
        <w:t>Follow the agreed codes of conduct that are in place within the school and any instructions given by school leaders.</w:t>
      </w:r>
    </w:p>
    <w:p w14:paraId="23BE5D12"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5. Procedures for Disclosure</w:t>
      </w:r>
    </w:p>
    <w:p w14:paraId="5905433F" w14:textId="7F10C157" w:rsidR="00440C78" w:rsidRPr="00440C78" w:rsidRDefault="00440C78" w:rsidP="00440C78">
      <w:pPr>
        <w:numPr>
          <w:ilvl w:val="0"/>
          <w:numId w:val="29"/>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 xml:space="preserve">All examination staff must complete a conflict of interest declaration </w:t>
      </w:r>
      <w:r w:rsidR="00125F44">
        <w:rPr>
          <w:rFonts w:eastAsia="Times New Roman" w:cstheme="minorHAnsi"/>
          <w:color w:val="000000"/>
          <w:lang w:eastAsia="en-GB"/>
        </w:rPr>
        <w:t xml:space="preserve">if they have or could be perceived to have any sort of conflict of interest </w:t>
      </w:r>
      <w:proofErr w:type="spellStart"/>
      <w:r w:rsidR="00125F44">
        <w:rPr>
          <w:rFonts w:eastAsia="Times New Roman" w:cstheme="minorHAnsi"/>
          <w:color w:val="000000"/>
          <w:lang w:eastAsia="en-GB"/>
        </w:rPr>
        <w:t>realting</w:t>
      </w:r>
      <w:proofErr w:type="spellEnd"/>
      <w:r w:rsidR="00125F44">
        <w:rPr>
          <w:rFonts w:eastAsia="Times New Roman" w:cstheme="minorHAnsi"/>
          <w:color w:val="000000"/>
          <w:lang w:eastAsia="en-GB"/>
        </w:rPr>
        <w:t xml:space="preserve"> to examinations</w:t>
      </w:r>
    </w:p>
    <w:p w14:paraId="39F19B35" w14:textId="77777777" w:rsidR="00440C78" w:rsidRPr="00440C78" w:rsidRDefault="00440C78" w:rsidP="00440C78">
      <w:pPr>
        <w:numPr>
          <w:ilvl w:val="0"/>
          <w:numId w:val="29"/>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Any changes in circumstances that may give rise to a conflict of interest must be reported immediately.</w:t>
      </w:r>
    </w:p>
    <w:p w14:paraId="04DC197F" w14:textId="77777777" w:rsidR="00440C78" w:rsidRPr="00440C78" w:rsidRDefault="00440C78" w:rsidP="00440C78">
      <w:pPr>
        <w:numPr>
          <w:ilvl w:val="0"/>
          <w:numId w:val="29"/>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Exam centres must maintain a register of disclosed conflicts and review it regularly.</w:t>
      </w:r>
    </w:p>
    <w:p w14:paraId="0ACADD6E"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6. Managing Conflicts of Interest</w:t>
      </w:r>
      <w:r w:rsidRPr="00440C78">
        <w:rPr>
          <w:rFonts w:eastAsia="Times New Roman" w:cstheme="minorHAnsi"/>
          <w:color w:val="000000"/>
          <w:lang w:eastAsia="en-GB"/>
        </w:rPr>
        <w:br/>
        <w:t>Once a conflict of interest has been disclosed:</w:t>
      </w:r>
    </w:p>
    <w:p w14:paraId="239D7298" w14:textId="77777777" w:rsidR="00440C78" w:rsidRPr="00440C78" w:rsidRDefault="00440C78" w:rsidP="00440C78">
      <w:pPr>
        <w:numPr>
          <w:ilvl w:val="0"/>
          <w:numId w:val="30"/>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lastRenderedPageBreak/>
        <w:t>The relevant authority (e.g., exam centre manager, awarding organisation) will assess the nature and extent of the conflict.</w:t>
      </w:r>
    </w:p>
    <w:p w14:paraId="6A41FC72" w14:textId="77777777" w:rsidR="00440C78" w:rsidRPr="00440C78" w:rsidRDefault="00440C78" w:rsidP="00440C78">
      <w:pPr>
        <w:numPr>
          <w:ilvl w:val="0"/>
          <w:numId w:val="30"/>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Appropriate measures will be implemented, which may include:</w:t>
      </w:r>
    </w:p>
    <w:p w14:paraId="007E8958" w14:textId="77777777" w:rsidR="00440C78" w:rsidRPr="00440C78" w:rsidRDefault="00440C78" w:rsidP="00440C78">
      <w:pPr>
        <w:numPr>
          <w:ilvl w:val="1"/>
          <w:numId w:val="30"/>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Reassigning roles or responsibilities.</w:t>
      </w:r>
    </w:p>
    <w:p w14:paraId="1167A5FA" w14:textId="77777777" w:rsidR="00440C78" w:rsidRPr="00440C78" w:rsidRDefault="00440C78" w:rsidP="00440C78">
      <w:pPr>
        <w:numPr>
          <w:ilvl w:val="1"/>
          <w:numId w:val="30"/>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Excluding the individual from certain processes, such as invigilation, marking, or candidate registration.</w:t>
      </w:r>
    </w:p>
    <w:p w14:paraId="5057135B" w14:textId="77777777" w:rsidR="00440C78" w:rsidRPr="00440C78" w:rsidRDefault="00440C78" w:rsidP="00440C78">
      <w:pPr>
        <w:numPr>
          <w:ilvl w:val="1"/>
          <w:numId w:val="30"/>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Enhanced monitoring of the individual’s activities.</w:t>
      </w:r>
    </w:p>
    <w:p w14:paraId="378E5D7E" w14:textId="77777777" w:rsidR="00440C78" w:rsidRPr="00440C78" w:rsidRDefault="00440C78" w:rsidP="00440C78">
      <w:pPr>
        <w:numPr>
          <w:ilvl w:val="0"/>
          <w:numId w:val="30"/>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Where a conflict cannot be effectively managed, the individual may be required to step down from their role.</w:t>
      </w:r>
    </w:p>
    <w:p w14:paraId="6BA57B3E" w14:textId="055AE726"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7. Training and Awareness</w:t>
      </w:r>
      <w:r w:rsidRPr="00440C78">
        <w:rPr>
          <w:rFonts w:eastAsia="Times New Roman" w:cstheme="minorHAnsi"/>
          <w:color w:val="000000"/>
          <w:lang w:eastAsia="en-GB"/>
        </w:rPr>
        <w:br/>
      </w:r>
      <w:r>
        <w:rPr>
          <w:rFonts w:eastAsia="Times New Roman" w:cstheme="minorHAnsi"/>
          <w:color w:val="000000"/>
          <w:lang w:eastAsia="en-GB"/>
        </w:rPr>
        <w:t>The school will ensure that a</w:t>
      </w:r>
      <w:r w:rsidRPr="00440C78">
        <w:rPr>
          <w:rFonts w:eastAsia="Times New Roman" w:cstheme="minorHAnsi"/>
          <w:color w:val="000000"/>
          <w:lang w:eastAsia="en-GB"/>
        </w:rPr>
        <w:t xml:space="preserve">ll individuals involved in the examination process </w:t>
      </w:r>
      <w:r>
        <w:rPr>
          <w:rFonts w:eastAsia="Times New Roman" w:cstheme="minorHAnsi"/>
          <w:color w:val="000000"/>
          <w:lang w:eastAsia="en-GB"/>
        </w:rPr>
        <w:t>are made aware of issues involving</w:t>
      </w:r>
      <w:r w:rsidRPr="00440C78">
        <w:rPr>
          <w:rFonts w:eastAsia="Times New Roman" w:cstheme="minorHAnsi"/>
          <w:color w:val="000000"/>
          <w:lang w:eastAsia="en-GB"/>
        </w:rPr>
        <w:t xml:space="preserve"> identifying and managing conflicts of interest.</w:t>
      </w:r>
    </w:p>
    <w:p w14:paraId="4675FCDF"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8. Reporting and Monitoring</w:t>
      </w:r>
    </w:p>
    <w:p w14:paraId="3772E0E3" w14:textId="77777777" w:rsidR="00440C78" w:rsidRPr="00440C78" w:rsidRDefault="00440C78" w:rsidP="00440C78">
      <w:pPr>
        <w:numPr>
          <w:ilvl w:val="0"/>
          <w:numId w:val="31"/>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Exam centres must report any conflicts of interest and their management strategies to the relevant awarding organisation.</w:t>
      </w:r>
    </w:p>
    <w:p w14:paraId="4D2A3131" w14:textId="77777777" w:rsidR="00440C78" w:rsidRPr="00440C78" w:rsidRDefault="00440C78" w:rsidP="00440C78">
      <w:pPr>
        <w:numPr>
          <w:ilvl w:val="0"/>
          <w:numId w:val="31"/>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Awarding organisations are responsible for auditing conflict management procedures at examination centres.</w:t>
      </w:r>
    </w:p>
    <w:p w14:paraId="66ADFEA3"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9. Consequences of Non-Compliance</w:t>
      </w:r>
      <w:r w:rsidRPr="00440C78">
        <w:rPr>
          <w:rFonts w:eastAsia="Times New Roman" w:cstheme="minorHAnsi"/>
          <w:color w:val="000000"/>
          <w:lang w:eastAsia="en-GB"/>
        </w:rPr>
        <w:br/>
        <w:t>Failure to disclose or appropriately manage conflicts of interest may result in:</w:t>
      </w:r>
    </w:p>
    <w:p w14:paraId="3C0EAB40" w14:textId="77777777" w:rsidR="00440C78" w:rsidRPr="00440C78" w:rsidRDefault="00440C78" w:rsidP="00440C78">
      <w:pPr>
        <w:numPr>
          <w:ilvl w:val="0"/>
          <w:numId w:val="32"/>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Disciplinary action, including removal from examination-related duties.</w:t>
      </w:r>
    </w:p>
    <w:p w14:paraId="19CC8FA4" w14:textId="77777777" w:rsidR="00440C78" w:rsidRPr="00440C78" w:rsidRDefault="00440C78" w:rsidP="00440C78">
      <w:pPr>
        <w:numPr>
          <w:ilvl w:val="0"/>
          <w:numId w:val="32"/>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Revocation of certification for candidates if the conflict undermines the integrity of the examination.</w:t>
      </w:r>
    </w:p>
    <w:p w14:paraId="57AF54CD" w14:textId="77777777" w:rsidR="00440C78" w:rsidRPr="00440C78" w:rsidRDefault="00440C78" w:rsidP="00440C78">
      <w:pPr>
        <w:numPr>
          <w:ilvl w:val="0"/>
          <w:numId w:val="32"/>
        </w:numPr>
        <w:spacing w:before="100" w:beforeAutospacing="1" w:after="100" w:afterAutospacing="1"/>
        <w:rPr>
          <w:rFonts w:eastAsia="Times New Roman" w:cstheme="minorHAnsi"/>
          <w:color w:val="000000"/>
          <w:lang w:eastAsia="en-GB"/>
        </w:rPr>
      </w:pPr>
      <w:r w:rsidRPr="00440C78">
        <w:rPr>
          <w:rFonts w:eastAsia="Times New Roman" w:cstheme="minorHAnsi"/>
          <w:color w:val="000000"/>
          <w:lang w:eastAsia="en-GB"/>
        </w:rPr>
        <w:t>Legal or regulatory consequences for the organisation or individual.</w:t>
      </w:r>
    </w:p>
    <w:p w14:paraId="7C552E96" w14:textId="77777777"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10. Review of the Policy</w:t>
      </w:r>
      <w:r w:rsidRPr="00440C78">
        <w:rPr>
          <w:rFonts w:eastAsia="Times New Roman" w:cstheme="minorHAnsi"/>
          <w:color w:val="000000"/>
          <w:lang w:eastAsia="en-GB"/>
        </w:rPr>
        <w:br/>
        <w:t>This policy will be reviewed annually or sooner if significant changes occur in relevant laws, regulations, or best practices.</w:t>
      </w:r>
    </w:p>
    <w:p w14:paraId="6AE922D5" w14:textId="2CEB516E" w:rsidR="00440C78" w:rsidRPr="00440C78" w:rsidRDefault="00440C78" w:rsidP="00440C78">
      <w:pPr>
        <w:spacing w:before="100" w:beforeAutospacing="1" w:after="100" w:afterAutospacing="1"/>
        <w:rPr>
          <w:rFonts w:eastAsia="Times New Roman" w:cstheme="minorHAnsi"/>
          <w:color w:val="000000"/>
          <w:lang w:eastAsia="en-GB"/>
        </w:rPr>
      </w:pPr>
      <w:r w:rsidRPr="00440C78">
        <w:rPr>
          <w:rFonts w:eastAsia="Times New Roman" w:cstheme="minorHAnsi"/>
          <w:b/>
          <w:bCs/>
          <w:color w:val="000000"/>
          <w:lang w:eastAsia="en-GB"/>
        </w:rPr>
        <w:t>Contact for Queries</w:t>
      </w:r>
      <w:r w:rsidRPr="00440C78">
        <w:rPr>
          <w:rFonts w:eastAsia="Times New Roman" w:cstheme="minorHAnsi"/>
          <w:color w:val="000000"/>
          <w:lang w:eastAsia="en-GB"/>
        </w:rPr>
        <w:br/>
        <w:t>For questions or concerns regarding this policy, please contact:</w:t>
      </w:r>
      <w:r w:rsidRPr="00440C78">
        <w:rPr>
          <w:rFonts w:eastAsia="Times New Roman" w:cstheme="minorHAnsi"/>
          <w:color w:val="000000"/>
          <w:lang w:eastAsia="en-GB"/>
        </w:rPr>
        <w:br/>
        <w:t>m.aktar@mvla.co.uk</w:t>
      </w:r>
    </w:p>
    <w:p w14:paraId="0F3B2041" w14:textId="77777777" w:rsidR="00440C78" w:rsidRPr="00440C78" w:rsidRDefault="00440C78" w:rsidP="00EE4076">
      <w:pPr>
        <w:rPr>
          <w:rFonts w:cstheme="minorHAnsi"/>
        </w:rPr>
      </w:pPr>
    </w:p>
    <w:p w14:paraId="34096DD4" w14:textId="77777777" w:rsidR="00EE4076" w:rsidRPr="00EE4076" w:rsidRDefault="00EE4076">
      <w:pPr>
        <w:rPr>
          <w:rFonts w:cstheme="minorHAnsi"/>
        </w:rPr>
      </w:pPr>
    </w:p>
    <w:sectPr w:rsidR="00EE4076" w:rsidRPr="00EE4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0526"/>
    <w:multiLevelType w:val="hybridMultilevel"/>
    <w:tmpl w:val="47F0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430E"/>
    <w:multiLevelType w:val="multilevel"/>
    <w:tmpl w:val="77C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826C3"/>
    <w:multiLevelType w:val="hybridMultilevel"/>
    <w:tmpl w:val="8F32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061E"/>
    <w:multiLevelType w:val="hybridMultilevel"/>
    <w:tmpl w:val="9B94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7354E"/>
    <w:multiLevelType w:val="hybridMultilevel"/>
    <w:tmpl w:val="75F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50308"/>
    <w:multiLevelType w:val="multilevel"/>
    <w:tmpl w:val="0E98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067BF"/>
    <w:multiLevelType w:val="multilevel"/>
    <w:tmpl w:val="9D7C3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3281C"/>
    <w:multiLevelType w:val="multilevel"/>
    <w:tmpl w:val="FE4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37EBD"/>
    <w:multiLevelType w:val="multilevel"/>
    <w:tmpl w:val="B63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F231C"/>
    <w:multiLevelType w:val="multilevel"/>
    <w:tmpl w:val="27B81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A270FF"/>
    <w:multiLevelType w:val="hybridMultilevel"/>
    <w:tmpl w:val="5F1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26B72"/>
    <w:multiLevelType w:val="multilevel"/>
    <w:tmpl w:val="9B602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E767B"/>
    <w:multiLevelType w:val="multilevel"/>
    <w:tmpl w:val="2DFA2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475B0"/>
    <w:multiLevelType w:val="multilevel"/>
    <w:tmpl w:val="89C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4026A"/>
    <w:multiLevelType w:val="hybridMultilevel"/>
    <w:tmpl w:val="1CA6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10118"/>
    <w:multiLevelType w:val="hybridMultilevel"/>
    <w:tmpl w:val="3480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9768B"/>
    <w:multiLevelType w:val="multilevel"/>
    <w:tmpl w:val="0336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F3DE9"/>
    <w:multiLevelType w:val="hybridMultilevel"/>
    <w:tmpl w:val="C3F8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B7BCE"/>
    <w:multiLevelType w:val="multilevel"/>
    <w:tmpl w:val="B988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36F82"/>
    <w:multiLevelType w:val="multilevel"/>
    <w:tmpl w:val="2DCC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77A03"/>
    <w:multiLevelType w:val="multilevel"/>
    <w:tmpl w:val="149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842C6"/>
    <w:multiLevelType w:val="hybridMultilevel"/>
    <w:tmpl w:val="F3DC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6739C"/>
    <w:multiLevelType w:val="multilevel"/>
    <w:tmpl w:val="F25C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E5BB8"/>
    <w:multiLevelType w:val="hybridMultilevel"/>
    <w:tmpl w:val="D8E2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12F51"/>
    <w:multiLevelType w:val="hybridMultilevel"/>
    <w:tmpl w:val="EB16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85A06"/>
    <w:multiLevelType w:val="multilevel"/>
    <w:tmpl w:val="D098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D55B5"/>
    <w:multiLevelType w:val="multilevel"/>
    <w:tmpl w:val="6EC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042002"/>
    <w:multiLevelType w:val="multilevel"/>
    <w:tmpl w:val="55A0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725EC"/>
    <w:multiLevelType w:val="multilevel"/>
    <w:tmpl w:val="334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91712"/>
    <w:multiLevelType w:val="multilevel"/>
    <w:tmpl w:val="82F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44567"/>
    <w:multiLevelType w:val="multilevel"/>
    <w:tmpl w:val="9D5E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EB5E6C"/>
    <w:multiLevelType w:val="hybridMultilevel"/>
    <w:tmpl w:val="500C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164827">
    <w:abstractNumId w:val="19"/>
  </w:num>
  <w:num w:numId="2" w16cid:durableId="702901557">
    <w:abstractNumId w:val="26"/>
  </w:num>
  <w:num w:numId="3" w16cid:durableId="1371220315">
    <w:abstractNumId w:val="7"/>
  </w:num>
  <w:num w:numId="4" w16cid:durableId="1079524071">
    <w:abstractNumId w:val="6"/>
  </w:num>
  <w:num w:numId="5" w16cid:durableId="1730490851">
    <w:abstractNumId w:val="25"/>
  </w:num>
  <w:num w:numId="6" w16cid:durableId="269093563">
    <w:abstractNumId w:val="22"/>
  </w:num>
  <w:num w:numId="7" w16cid:durableId="1184704615">
    <w:abstractNumId w:val="5"/>
  </w:num>
  <w:num w:numId="8" w16cid:durableId="917441547">
    <w:abstractNumId w:val="9"/>
  </w:num>
  <w:num w:numId="9" w16cid:durableId="739402229">
    <w:abstractNumId w:val="27"/>
  </w:num>
  <w:num w:numId="10" w16cid:durableId="1355231983">
    <w:abstractNumId w:val="28"/>
  </w:num>
  <w:num w:numId="11" w16cid:durableId="660162656">
    <w:abstractNumId w:val="8"/>
  </w:num>
  <w:num w:numId="12" w16cid:durableId="1364406727">
    <w:abstractNumId w:val="12"/>
  </w:num>
  <w:num w:numId="13" w16cid:durableId="1519081958">
    <w:abstractNumId w:val="18"/>
  </w:num>
  <w:num w:numId="14" w16cid:durableId="1407730332">
    <w:abstractNumId w:val="2"/>
  </w:num>
  <w:num w:numId="15" w16cid:durableId="104423508">
    <w:abstractNumId w:val="17"/>
  </w:num>
  <w:num w:numId="16" w16cid:durableId="145828666">
    <w:abstractNumId w:val="0"/>
  </w:num>
  <w:num w:numId="17" w16cid:durableId="834497209">
    <w:abstractNumId w:val="31"/>
  </w:num>
  <w:num w:numId="18" w16cid:durableId="831290453">
    <w:abstractNumId w:val="3"/>
  </w:num>
  <w:num w:numId="19" w16cid:durableId="296492959">
    <w:abstractNumId w:val="15"/>
  </w:num>
  <w:num w:numId="20" w16cid:durableId="1813643427">
    <w:abstractNumId w:val="4"/>
  </w:num>
  <w:num w:numId="21" w16cid:durableId="1431588540">
    <w:abstractNumId w:val="14"/>
  </w:num>
  <w:num w:numId="22" w16cid:durableId="774864773">
    <w:abstractNumId w:val="24"/>
  </w:num>
  <w:num w:numId="23" w16cid:durableId="711536878">
    <w:abstractNumId w:val="21"/>
  </w:num>
  <w:num w:numId="24" w16cid:durableId="1902405009">
    <w:abstractNumId w:val="10"/>
  </w:num>
  <w:num w:numId="25" w16cid:durableId="1131361886">
    <w:abstractNumId w:val="23"/>
  </w:num>
  <w:num w:numId="26" w16cid:durableId="1919246477">
    <w:abstractNumId w:val="20"/>
  </w:num>
  <w:num w:numId="27" w16cid:durableId="1492481162">
    <w:abstractNumId w:val="1"/>
  </w:num>
  <w:num w:numId="28" w16cid:durableId="883979734">
    <w:abstractNumId w:val="13"/>
  </w:num>
  <w:num w:numId="29" w16cid:durableId="1727682364">
    <w:abstractNumId w:val="30"/>
  </w:num>
  <w:num w:numId="30" w16cid:durableId="1932622914">
    <w:abstractNumId w:val="11"/>
  </w:num>
  <w:num w:numId="31" w16cid:durableId="835001250">
    <w:abstractNumId w:val="16"/>
  </w:num>
  <w:num w:numId="32" w16cid:durableId="1381128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76"/>
    <w:rsid w:val="00125F44"/>
    <w:rsid w:val="001422AE"/>
    <w:rsid w:val="002147B3"/>
    <w:rsid w:val="00440C78"/>
    <w:rsid w:val="005C5209"/>
    <w:rsid w:val="008572DD"/>
    <w:rsid w:val="00A52291"/>
    <w:rsid w:val="00EE4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AB4A42"/>
  <w15:chartTrackingRefBased/>
  <w15:docId w15:val="{109ED0E8-70CC-6F4F-89DC-C65CAAED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407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E407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E407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E40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E40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E407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4076"/>
    <w:rPr>
      <w:b/>
      <w:bCs/>
    </w:rPr>
  </w:style>
  <w:style w:type="character" w:styleId="Hyperlink">
    <w:name w:val="Hyperlink"/>
    <w:basedOn w:val="DefaultParagraphFont"/>
    <w:uiPriority w:val="99"/>
    <w:semiHidden/>
    <w:unhideWhenUsed/>
    <w:rsid w:val="00EE4076"/>
    <w:rPr>
      <w:color w:val="0000FF"/>
      <w:u w:val="single"/>
    </w:rPr>
  </w:style>
  <w:style w:type="paragraph" w:styleId="ListParagraph">
    <w:name w:val="List Paragraph"/>
    <w:basedOn w:val="Normal"/>
    <w:uiPriority w:val="34"/>
    <w:qFormat/>
    <w:rsid w:val="00EE4076"/>
    <w:pPr>
      <w:ind w:left="720"/>
      <w:contextualSpacing/>
    </w:pPr>
  </w:style>
  <w:style w:type="paragraph" w:customStyle="1" w:styleId="1bodycopy10pt">
    <w:name w:val="1 body copy 10pt"/>
    <w:basedOn w:val="Normal"/>
    <w:link w:val="1bodycopy10ptChar"/>
    <w:qFormat/>
    <w:rsid w:val="002147B3"/>
    <w:pPr>
      <w:spacing w:after="120"/>
    </w:pPr>
    <w:rPr>
      <w:rFonts w:ascii="Arial" w:eastAsia="MS Mincho" w:hAnsi="Arial" w:cs="Times New Roman"/>
      <w:sz w:val="20"/>
      <w:lang w:val="en-US"/>
    </w:rPr>
  </w:style>
  <w:style w:type="character" w:customStyle="1" w:styleId="1bodycopy10ptChar">
    <w:name w:val="1 body copy 10pt Char"/>
    <w:link w:val="1bodycopy10pt"/>
    <w:rsid w:val="002147B3"/>
    <w:rPr>
      <w:rFonts w:ascii="Arial" w:eastAsia="MS Mincho" w:hAnsi="Arial" w:cs="Times New Roman"/>
      <w:sz w:val="20"/>
      <w:lang w:val="en-US"/>
    </w:rPr>
  </w:style>
  <w:style w:type="paragraph" w:customStyle="1" w:styleId="6Abstract">
    <w:name w:val="6 Abstract"/>
    <w:qFormat/>
    <w:rsid w:val="002147B3"/>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2147B3"/>
    <w:pPr>
      <w:spacing w:after="120"/>
      <w:ind w:right="850"/>
    </w:pPr>
    <w:rPr>
      <w:rFonts w:ascii="Arial" w:eastAsia="MS Mincho" w:hAnsi="Arial" w:cs="Arial"/>
      <w:sz w:val="22"/>
      <w:lang w:val="en-US"/>
    </w:rPr>
  </w:style>
  <w:style w:type="paragraph" w:customStyle="1" w:styleId="3Policytitle">
    <w:name w:val="3 Policy title"/>
    <w:basedOn w:val="Normal"/>
    <w:qFormat/>
    <w:rsid w:val="002147B3"/>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5299">
      <w:bodyDiv w:val="1"/>
      <w:marLeft w:val="0"/>
      <w:marRight w:val="0"/>
      <w:marTop w:val="0"/>
      <w:marBottom w:val="0"/>
      <w:divBdr>
        <w:top w:val="none" w:sz="0" w:space="0" w:color="auto"/>
        <w:left w:val="none" w:sz="0" w:space="0" w:color="auto"/>
        <w:bottom w:val="none" w:sz="0" w:space="0" w:color="auto"/>
        <w:right w:val="none" w:sz="0" w:space="0" w:color="auto"/>
      </w:divBdr>
    </w:div>
    <w:div w:id="13950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8</cp:revision>
  <dcterms:created xsi:type="dcterms:W3CDTF">2024-12-02T12:35:00Z</dcterms:created>
  <dcterms:modified xsi:type="dcterms:W3CDTF">2025-04-22T07:29:00Z</dcterms:modified>
</cp:coreProperties>
</file>