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4F91D" w14:textId="77777777" w:rsidR="001C6883" w:rsidRPr="00A42AAF" w:rsidRDefault="00A42AAF" w:rsidP="00A42AAF">
      <w:pPr>
        <w:jc w:val="center"/>
        <w:rPr>
          <w:rFonts w:cstheme="minorHAnsi"/>
          <w:b/>
        </w:rPr>
      </w:pPr>
      <w:r w:rsidRPr="00A42AAF">
        <w:rPr>
          <w:rFonts w:cstheme="minorHAnsi"/>
          <w:b/>
        </w:rPr>
        <w:t>Manchester Vocational and Learning Academy</w:t>
      </w:r>
    </w:p>
    <w:p w14:paraId="65E5C019" w14:textId="77777777" w:rsidR="00A42AAF" w:rsidRPr="00A42AAF" w:rsidRDefault="00A42AAF" w:rsidP="00A42AAF">
      <w:pPr>
        <w:jc w:val="center"/>
        <w:rPr>
          <w:rFonts w:cstheme="minorHAnsi"/>
          <w:b/>
        </w:rPr>
      </w:pPr>
      <w:r w:rsidRPr="00A42AAF">
        <w:rPr>
          <w:rFonts w:cstheme="minorHAnsi"/>
          <w:b/>
        </w:rPr>
        <w:t>Off-rolling Statement</w:t>
      </w:r>
    </w:p>
    <w:p w14:paraId="3A0774DF" w14:textId="77777777" w:rsidR="00A42AAF" w:rsidRPr="00A42AAF" w:rsidRDefault="00A42AAF">
      <w:pPr>
        <w:rPr>
          <w:rFonts w:cstheme="minorHAnsi"/>
        </w:rPr>
      </w:pPr>
    </w:p>
    <w:p w14:paraId="44F7897F" w14:textId="25060D27" w:rsidR="00A23703" w:rsidRPr="00A23703" w:rsidRDefault="00BC65E5" w:rsidP="00A23703">
      <w:pPr>
        <w:rPr>
          <w:rFonts w:eastAsia="Times New Roman" w:cs="Arial"/>
          <w:color w:val="000000" w:themeColor="text1"/>
          <w:shd w:val="clear" w:color="auto" w:fill="FFFFFF"/>
          <w:lang w:eastAsia="en-GB"/>
        </w:rPr>
      </w:pPr>
      <w:r>
        <w:rPr>
          <w:rFonts w:eastAsia="Times New Roman" w:cs="Arial"/>
          <w:color w:val="000000" w:themeColor="text1"/>
          <w:shd w:val="clear" w:color="auto" w:fill="FFFFFF"/>
          <w:lang w:eastAsia="en-GB"/>
        </w:rPr>
        <w:t>Ofsted defines off-rolling as</w:t>
      </w:r>
      <w:r w:rsidR="00A23703" w:rsidRPr="00A23703">
        <w:rPr>
          <w:rFonts w:eastAsia="Times New Roman" w:cs="Arial"/>
          <w:color w:val="000000" w:themeColor="text1"/>
          <w:shd w:val="clear" w:color="auto" w:fill="FFFFFF"/>
          <w:lang w:eastAsia="en-GB"/>
        </w:rPr>
        <w:t xml:space="preserve"> "the practice of removing a pupil from the school roll without a formal, permanent exclusion or by encouraging a parent to remove their child from the school roll, when the removal is primarily in the interests of the school rather than in the best interests of the pupil." </w:t>
      </w:r>
    </w:p>
    <w:p w14:paraId="4BD55736" w14:textId="77777777" w:rsidR="00A23703" w:rsidRPr="00A23703" w:rsidRDefault="00A23703" w:rsidP="00A23703">
      <w:pPr>
        <w:rPr>
          <w:rFonts w:eastAsia="Times New Roman" w:cs="Arial"/>
          <w:color w:val="000000" w:themeColor="text1"/>
          <w:shd w:val="clear" w:color="auto" w:fill="FFFFFF"/>
          <w:lang w:eastAsia="en-GB"/>
        </w:rPr>
      </w:pPr>
    </w:p>
    <w:p w14:paraId="6D21F205" w14:textId="065EBEA6" w:rsidR="00A23703" w:rsidRDefault="00A23703" w:rsidP="00A23703">
      <w:pPr>
        <w:rPr>
          <w:rFonts w:eastAsia="Times New Roman" w:cs="Arial"/>
          <w:color w:val="000000" w:themeColor="text1"/>
          <w:shd w:val="clear" w:color="auto" w:fill="FFFFFF"/>
          <w:lang w:eastAsia="en-GB"/>
        </w:rPr>
      </w:pPr>
      <w:r w:rsidRPr="00A23703">
        <w:rPr>
          <w:rFonts w:eastAsia="Times New Roman" w:cs="Arial"/>
          <w:color w:val="000000" w:themeColor="text1"/>
          <w:shd w:val="clear" w:color="auto" w:fill="FFFFFF"/>
          <w:lang w:eastAsia="en-GB"/>
        </w:rPr>
        <w:t>At Manchester Vocational and Learning Academy we know that off-rollin</w:t>
      </w:r>
      <w:r>
        <w:rPr>
          <w:rFonts w:eastAsia="Times New Roman" w:cs="Arial"/>
          <w:color w:val="000000" w:themeColor="text1"/>
          <w:shd w:val="clear" w:color="auto" w:fill="FFFFFF"/>
          <w:lang w:eastAsia="en-GB"/>
        </w:rPr>
        <w:t>g is both illegal and unethical.</w:t>
      </w:r>
      <w:r w:rsidRPr="00A23703">
        <w:rPr>
          <w:rFonts w:eastAsia="Times New Roman" w:cs="Arial"/>
          <w:color w:val="000000" w:themeColor="text1"/>
          <w:shd w:val="clear" w:color="auto" w:fill="FFFFFF"/>
          <w:lang w:eastAsia="en-GB"/>
        </w:rPr>
        <w:t xml:space="preserve"> We are committed to following all statutory exclusions procedures to ensure that every child receives an education in a safe and caring environment.</w:t>
      </w:r>
    </w:p>
    <w:p w14:paraId="03308B30" w14:textId="77777777" w:rsidR="00A23703" w:rsidRDefault="00A23703" w:rsidP="00A23703">
      <w:pPr>
        <w:rPr>
          <w:rFonts w:eastAsia="Times New Roman" w:cs="Arial"/>
          <w:color w:val="000000" w:themeColor="text1"/>
          <w:shd w:val="clear" w:color="auto" w:fill="FFFFFF"/>
          <w:lang w:eastAsia="en-GB"/>
        </w:rPr>
      </w:pPr>
    </w:p>
    <w:p w14:paraId="78585E71" w14:textId="189DC96E" w:rsidR="00A23703" w:rsidRDefault="00892A28" w:rsidP="00A23703">
      <w:pPr>
        <w:rPr>
          <w:rFonts w:eastAsia="Times New Roman" w:cs="Arial"/>
          <w:color w:val="000000" w:themeColor="text1"/>
          <w:shd w:val="clear" w:color="auto" w:fill="FFFFFF"/>
          <w:lang w:eastAsia="en-GB"/>
        </w:rPr>
      </w:pPr>
      <w:r>
        <w:rPr>
          <w:rFonts w:eastAsia="Times New Roman" w:cs="Arial"/>
          <w:color w:val="000000" w:themeColor="text1"/>
          <w:shd w:val="clear" w:color="auto" w:fill="FFFFFF"/>
          <w:lang w:eastAsia="en-GB"/>
        </w:rPr>
        <w:t>Alternative provision settings should never be used as an opportunity to</w:t>
      </w:r>
      <w:r w:rsidR="00E74BE8">
        <w:rPr>
          <w:rFonts w:eastAsia="Times New Roman" w:cs="Arial"/>
          <w:color w:val="000000" w:themeColor="text1"/>
          <w:shd w:val="clear" w:color="auto" w:fill="FFFFFF"/>
          <w:lang w:eastAsia="en-GB"/>
        </w:rPr>
        <w:t xml:space="preserve"> off-roll</w:t>
      </w:r>
      <w:r w:rsidR="00A23703">
        <w:rPr>
          <w:rFonts w:eastAsia="Times New Roman" w:cs="Arial"/>
          <w:color w:val="000000" w:themeColor="text1"/>
          <w:shd w:val="clear" w:color="auto" w:fill="FFFFFF"/>
          <w:lang w:eastAsia="en-GB"/>
        </w:rPr>
        <w:t xml:space="preserve"> students.  </w:t>
      </w:r>
      <w:r>
        <w:rPr>
          <w:rFonts w:eastAsia="Times New Roman" w:cs="Arial"/>
          <w:color w:val="000000" w:themeColor="text1"/>
          <w:shd w:val="clear" w:color="auto" w:fill="FFFFFF"/>
          <w:lang w:eastAsia="en-GB"/>
        </w:rPr>
        <w:t>As education professionals</w:t>
      </w:r>
      <w:r w:rsidR="001820C3">
        <w:rPr>
          <w:rFonts w:eastAsia="Times New Roman" w:cs="Arial"/>
          <w:color w:val="000000" w:themeColor="text1"/>
          <w:shd w:val="clear" w:color="auto" w:fill="FFFFFF"/>
          <w:lang w:eastAsia="en-GB"/>
        </w:rPr>
        <w:t>,</w:t>
      </w:r>
      <w:bookmarkStart w:id="0" w:name="_GoBack"/>
      <w:bookmarkEnd w:id="0"/>
      <w:r>
        <w:rPr>
          <w:rFonts w:eastAsia="Times New Roman" w:cs="Arial"/>
          <w:color w:val="000000" w:themeColor="text1"/>
          <w:shd w:val="clear" w:color="auto" w:fill="FFFFFF"/>
          <w:lang w:eastAsia="en-GB"/>
        </w:rPr>
        <w:t xml:space="preserve"> i</w:t>
      </w:r>
      <w:r w:rsidR="00E74BE8">
        <w:rPr>
          <w:rFonts w:eastAsia="Times New Roman" w:cs="Arial"/>
          <w:color w:val="000000" w:themeColor="text1"/>
          <w:shd w:val="clear" w:color="auto" w:fill="FFFFFF"/>
          <w:lang w:eastAsia="en-GB"/>
        </w:rPr>
        <w:t>t is our</w:t>
      </w:r>
      <w:r>
        <w:rPr>
          <w:rFonts w:eastAsia="Times New Roman" w:cs="Arial"/>
          <w:color w:val="000000" w:themeColor="text1"/>
          <w:shd w:val="clear" w:color="auto" w:fill="FFFFFF"/>
          <w:lang w:eastAsia="en-GB"/>
        </w:rPr>
        <w:t xml:space="preserve"> collective</w:t>
      </w:r>
      <w:r w:rsidR="00E74BE8">
        <w:rPr>
          <w:rFonts w:eastAsia="Times New Roman" w:cs="Arial"/>
          <w:color w:val="000000" w:themeColor="text1"/>
          <w:shd w:val="clear" w:color="auto" w:fill="FFFFFF"/>
          <w:lang w:eastAsia="en-GB"/>
        </w:rPr>
        <w:t xml:space="preserve"> duty to ensure that this does not happen. </w:t>
      </w:r>
      <w:r w:rsidR="00A23703">
        <w:rPr>
          <w:rFonts w:eastAsia="Times New Roman" w:cs="Arial"/>
          <w:color w:val="000000" w:themeColor="text1"/>
          <w:shd w:val="clear" w:color="auto" w:fill="FFFFFF"/>
          <w:lang w:eastAsia="en-GB"/>
        </w:rPr>
        <w:t>Our Leadership Team and Management Committee</w:t>
      </w:r>
      <w:r w:rsidR="00E74BE8">
        <w:rPr>
          <w:rFonts w:eastAsia="Times New Roman" w:cs="Arial"/>
          <w:color w:val="000000" w:themeColor="text1"/>
          <w:shd w:val="clear" w:color="auto" w:fill="FFFFFF"/>
          <w:lang w:eastAsia="en-GB"/>
        </w:rPr>
        <w:t xml:space="preserve"> are fundamentally imposed to off-rolling</w:t>
      </w:r>
      <w:r w:rsidR="00A23703">
        <w:rPr>
          <w:rFonts w:eastAsia="Times New Roman" w:cs="Arial"/>
          <w:color w:val="000000" w:themeColor="text1"/>
          <w:shd w:val="clear" w:color="auto" w:fill="FFFFFF"/>
          <w:lang w:eastAsia="en-GB"/>
        </w:rPr>
        <w:t xml:space="preserve">, as it is directly contradictory to our school’s inclusive ethos.  </w:t>
      </w:r>
    </w:p>
    <w:p w14:paraId="1AB1CD1A" w14:textId="77777777" w:rsidR="00E74BE8" w:rsidRDefault="00E74BE8" w:rsidP="00A23703">
      <w:pPr>
        <w:rPr>
          <w:rFonts w:eastAsia="Times New Roman" w:cs="Arial"/>
          <w:color w:val="000000" w:themeColor="text1"/>
          <w:shd w:val="clear" w:color="auto" w:fill="FFFFFF"/>
          <w:lang w:eastAsia="en-GB"/>
        </w:rPr>
      </w:pPr>
    </w:p>
    <w:p w14:paraId="16947B8F" w14:textId="77777777" w:rsidR="00E74BE8" w:rsidRPr="00A42AAF" w:rsidRDefault="00E74BE8" w:rsidP="00E74BE8">
      <w:pPr>
        <w:outlineLvl w:val="2"/>
        <w:rPr>
          <w:rFonts w:eastAsia="Times New Roman" w:cs="Arial"/>
          <w:b/>
          <w:color w:val="000000" w:themeColor="text1"/>
          <w:lang w:eastAsia="en-GB"/>
        </w:rPr>
      </w:pPr>
      <w:r w:rsidRPr="00A42AAF">
        <w:rPr>
          <w:rFonts w:eastAsia="Times New Roman" w:cs="Arial"/>
          <w:b/>
          <w:color w:val="000000" w:themeColor="text1"/>
          <w:lang w:eastAsia="en-GB"/>
        </w:rPr>
        <w:t>Unlawful exclusion </w:t>
      </w:r>
    </w:p>
    <w:p w14:paraId="5954EB66" w14:textId="77777777" w:rsidR="00E74BE8" w:rsidRPr="00A42AAF" w:rsidRDefault="00E74BE8" w:rsidP="00E74BE8">
      <w:pPr>
        <w:outlineLvl w:val="2"/>
        <w:rPr>
          <w:rFonts w:eastAsia="Times New Roman" w:cs="Arial"/>
          <w:b/>
          <w:color w:val="000000" w:themeColor="text1"/>
          <w:lang w:eastAsia="en-GB"/>
        </w:rPr>
      </w:pPr>
    </w:p>
    <w:p w14:paraId="29D788B7" w14:textId="77777777" w:rsidR="00E74BE8" w:rsidRPr="00A42AAF" w:rsidRDefault="00E74BE8" w:rsidP="00E74BE8">
      <w:pPr>
        <w:spacing w:after="100" w:afterAutospacing="1"/>
        <w:rPr>
          <w:rFonts w:cs="Arial"/>
          <w:color w:val="000000" w:themeColor="text1"/>
          <w:lang w:eastAsia="en-GB"/>
        </w:rPr>
      </w:pPr>
      <w:r w:rsidRPr="00A42AAF">
        <w:rPr>
          <w:rFonts w:cs="Arial"/>
          <w:color w:val="000000" w:themeColor="text1"/>
          <w:lang w:eastAsia="en-GB"/>
        </w:rPr>
        <w:t>Statutory guidance states that you can only permanently exclude a child where </w:t>
      </w:r>
      <w:r w:rsidRPr="00A42AAF">
        <w:rPr>
          <w:rFonts w:cs="Arial"/>
          <w:b/>
          <w:bCs/>
          <w:color w:val="000000" w:themeColor="text1"/>
          <w:lang w:eastAsia="en-GB"/>
        </w:rPr>
        <w:t>both</w:t>
      </w:r>
      <w:r w:rsidRPr="00A42AAF">
        <w:rPr>
          <w:rFonts w:cs="Arial"/>
          <w:color w:val="000000" w:themeColor="text1"/>
          <w:lang w:eastAsia="en-GB"/>
        </w:rPr>
        <w:t> of the following conditions are met:</w:t>
      </w:r>
    </w:p>
    <w:p w14:paraId="4CA49418" w14:textId="77777777" w:rsidR="00E74BE8" w:rsidRPr="00A42AAF" w:rsidRDefault="00E74BE8" w:rsidP="00E74BE8">
      <w:pPr>
        <w:numPr>
          <w:ilvl w:val="0"/>
          <w:numId w:val="1"/>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The exclusion is in response to a serious breach or persistent breaches of the school's behaviour policy; </w:t>
      </w:r>
      <w:r w:rsidRPr="00A42AAF">
        <w:rPr>
          <w:rFonts w:eastAsia="Times New Roman" w:cs="Arial"/>
          <w:b/>
          <w:bCs/>
          <w:color w:val="000000" w:themeColor="text1"/>
          <w:lang w:eastAsia="en-GB"/>
        </w:rPr>
        <w:t>and</w:t>
      </w:r>
    </w:p>
    <w:p w14:paraId="60D23EB9" w14:textId="77777777" w:rsidR="00E74BE8" w:rsidRDefault="00E74BE8" w:rsidP="00E74BE8">
      <w:pPr>
        <w:numPr>
          <w:ilvl w:val="0"/>
          <w:numId w:val="1"/>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Allowing the pupil to remain in school would seriously harm the education or welfare of the pupil or others in the school</w:t>
      </w:r>
    </w:p>
    <w:p w14:paraId="169F0FD0" w14:textId="01432686" w:rsidR="00810D4E" w:rsidRPr="00A42AAF" w:rsidRDefault="00810D4E" w:rsidP="00810D4E">
      <w:pPr>
        <w:spacing w:after="100" w:afterAutospacing="1"/>
        <w:jc w:val="center"/>
        <w:rPr>
          <w:rFonts w:cs="Arial"/>
          <w:i/>
          <w:color w:val="000000" w:themeColor="text1"/>
          <w:lang w:eastAsia="en-GB"/>
        </w:rPr>
      </w:pPr>
      <w:r w:rsidRPr="00810D4E">
        <w:rPr>
          <w:rFonts w:cs="Arial"/>
          <w:b/>
          <w:bCs/>
          <w:i/>
          <w:color w:val="000000" w:themeColor="text1"/>
          <w:lang w:eastAsia="en-GB"/>
        </w:rPr>
        <w:t>Any exclusion outside of these conditions is off-rolling.</w:t>
      </w:r>
    </w:p>
    <w:p w14:paraId="321624F4" w14:textId="7C521563" w:rsidR="00E74BE8" w:rsidRDefault="00E74BE8" w:rsidP="00A23703">
      <w:pPr>
        <w:rPr>
          <w:rFonts w:eastAsia="Times New Roman" w:cs="Arial"/>
          <w:color w:val="000000" w:themeColor="text1"/>
          <w:shd w:val="clear" w:color="auto" w:fill="FFFFFF"/>
          <w:lang w:eastAsia="en-GB"/>
        </w:rPr>
      </w:pPr>
      <w:r>
        <w:rPr>
          <w:rFonts w:eastAsia="Times New Roman" w:cs="Arial"/>
          <w:color w:val="000000" w:themeColor="text1"/>
          <w:shd w:val="clear" w:color="auto" w:fill="FFFFFF"/>
          <w:lang w:eastAsia="en-GB"/>
        </w:rPr>
        <w:t>Exclusions at Manchester Vocational and Learning Academy will only happen if these conditions are met. At our school</w:t>
      </w:r>
      <w:r w:rsidR="00C02CEF">
        <w:rPr>
          <w:rFonts w:eastAsia="Times New Roman" w:cs="Arial"/>
          <w:color w:val="000000" w:themeColor="text1"/>
          <w:shd w:val="clear" w:color="auto" w:fill="FFFFFF"/>
          <w:lang w:eastAsia="en-GB"/>
        </w:rPr>
        <w:t>,</w:t>
      </w:r>
      <w:r>
        <w:rPr>
          <w:rFonts w:eastAsia="Times New Roman" w:cs="Arial"/>
          <w:color w:val="000000" w:themeColor="text1"/>
          <w:shd w:val="clear" w:color="auto" w:fill="FFFFFF"/>
          <w:lang w:eastAsia="en-GB"/>
        </w:rPr>
        <w:t xml:space="preserve"> we believe that exclusion should be a last resort, and only happen if all other options have been explored. We have a separate exclusions policy which can be found on the school website.</w:t>
      </w:r>
    </w:p>
    <w:p w14:paraId="08432AA6" w14:textId="77777777" w:rsidR="00E74BE8" w:rsidRDefault="00E74BE8" w:rsidP="00A23703">
      <w:pPr>
        <w:rPr>
          <w:rFonts w:eastAsia="Times New Roman" w:cs="Arial"/>
          <w:color w:val="000000" w:themeColor="text1"/>
          <w:shd w:val="clear" w:color="auto" w:fill="FFFFFF"/>
          <w:lang w:eastAsia="en-GB"/>
        </w:rPr>
      </w:pPr>
    </w:p>
    <w:p w14:paraId="13C7D569" w14:textId="6940B197" w:rsidR="00E74BE8" w:rsidRDefault="00E74BE8" w:rsidP="00A23703">
      <w:pPr>
        <w:rPr>
          <w:rFonts w:eastAsia="Times New Roman" w:cs="Arial"/>
          <w:color w:val="000000" w:themeColor="text1"/>
          <w:shd w:val="clear" w:color="auto" w:fill="FFFFFF"/>
          <w:lang w:eastAsia="en-GB"/>
        </w:rPr>
      </w:pPr>
      <w:r>
        <w:rPr>
          <w:rFonts w:eastAsia="Times New Roman" w:cs="Arial"/>
          <w:color w:val="000000" w:themeColor="text1"/>
          <w:shd w:val="clear" w:color="auto" w:fill="FFFFFF"/>
          <w:lang w:eastAsia="en-GB"/>
        </w:rPr>
        <w:t>When a student is referred to us, we will make enquiries as to the reasons for their exclusion.  If we feel that the conditions for a lawful exclusion has not been met, we will decline the offer of a place for that student.</w:t>
      </w:r>
    </w:p>
    <w:p w14:paraId="4B1B572B" w14:textId="4A4D559E" w:rsidR="00A42AAF" w:rsidRPr="00A42AAF" w:rsidRDefault="00A42AAF">
      <w:pPr>
        <w:rPr>
          <w:rFonts w:cstheme="minorHAnsi"/>
        </w:rPr>
      </w:pPr>
    </w:p>
    <w:p w14:paraId="72EBE363" w14:textId="77777777" w:rsidR="00A42AAF" w:rsidRPr="00A42AAF" w:rsidRDefault="00A42AAF">
      <w:pPr>
        <w:rPr>
          <w:rFonts w:cstheme="minorHAnsi"/>
          <w:color w:val="000000" w:themeColor="text1"/>
        </w:rPr>
      </w:pPr>
    </w:p>
    <w:p w14:paraId="5E7F33D7" w14:textId="77777777" w:rsidR="00A42AAF" w:rsidRPr="00A42AAF" w:rsidRDefault="00A42AAF" w:rsidP="00A42AAF">
      <w:pPr>
        <w:rPr>
          <w:rFonts w:eastAsia="Times New Roman" w:cs="Arial"/>
          <w:b/>
          <w:color w:val="000000" w:themeColor="text1"/>
          <w:shd w:val="clear" w:color="auto" w:fill="FFFFFF"/>
          <w:lang w:eastAsia="en-GB"/>
        </w:rPr>
      </w:pPr>
      <w:r w:rsidRPr="00A42AAF">
        <w:rPr>
          <w:rFonts w:eastAsia="Times New Roman" w:cs="Arial"/>
          <w:b/>
          <w:color w:val="000000" w:themeColor="text1"/>
          <w:shd w:val="clear" w:color="auto" w:fill="FFFFFF"/>
          <w:lang w:eastAsia="en-GB"/>
        </w:rPr>
        <w:t>Examples of off-rolling</w:t>
      </w:r>
    </w:p>
    <w:p w14:paraId="50F4A814" w14:textId="77777777" w:rsidR="00A42AAF" w:rsidRDefault="00A42AAF" w:rsidP="00A42AAF">
      <w:pPr>
        <w:rPr>
          <w:rFonts w:eastAsia="Times New Roman" w:cs="Arial"/>
          <w:color w:val="000000" w:themeColor="text1"/>
          <w:shd w:val="clear" w:color="auto" w:fill="FFFFFF"/>
          <w:lang w:eastAsia="en-GB"/>
        </w:rPr>
      </w:pPr>
    </w:p>
    <w:p w14:paraId="54E0F376" w14:textId="77777777" w:rsidR="00A42AAF" w:rsidRPr="00A42AAF" w:rsidRDefault="00A42AAF" w:rsidP="00A42AAF">
      <w:pPr>
        <w:rPr>
          <w:rFonts w:eastAsia="Times New Roman" w:cs="Times New Roman"/>
          <w:color w:val="000000" w:themeColor="text1"/>
          <w:lang w:eastAsia="en-GB"/>
        </w:rPr>
      </w:pPr>
      <w:r w:rsidRPr="00A42AAF">
        <w:rPr>
          <w:rFonts w:eastAsia="Times New Roman" w:cs="Arial"/>
          <w:color w:val="000000" w:themeColor="text1"/>
          <w:shd w:val="clear" w:color="auto" w:fill="FFFFFF"/>
          <w:lang w:eastAsia="en-GB"/>
        </w:rPr>
        <w:t>The following examples can be found in Ofsted's </w:t>
      </w:r>
      <w:hyperlink r:id="rId7" w:tgtFrame="_blank" w:tooltip="guidance to inspectors" w:history="1">
        <w:r w:rsidRPr="00A42AAF">
          <w:rPr>
            <w:rFonts w:eastAsia="Times New Roman" w:cs="Arial"/>
            <w:color w:val="000000" w:themeColor="text1"/>
            <w:lang w:eastAsia="en-GB"/>
          </w:rPr>
          <w:t>guidance to inspectors</w:t>
        </w:r>
      </w:hyperlink>
      <w:r w:rsidRPr="00A42AAF">
        <w:rPr>
          <w:rFonts w:eastAsia="Times New Roman" w:cs="Arial"/>
          <w:color w:val="000000" w:themeColor="text1"/>
          <w:shd w:val="clear" w:color="auto" w:fill="FFFFFF"/>
          <w:lang w:eastAsia="en-GB"/>
        </w:rPr>
        <w:t> from September 2018, and in a </w:t>
      </w:r>
      <w:hyperlink r:id="rId8" w:tgtFrame="_blank" w:tooltip="briefing paper" w:history="1">
        <w:r w:rsidRPr="00A42AAF">
          <w:rPr>
            <w:rFonts w:eastAsia="Times New Roman" w:cs="Arial"/>
            <w:color w:val="000000" w:themeColor="text1"/>
            <w:lang w:eastAsia="en-GB"/>
          </w:rPr>
          <w:t>briefing paper</w:t>
        </w:r>
      </w:hyperlink>
      <w:r w:rsidRPr="00A42AAF">
        <w:rPr>
          <w:rFonts w:eastAsia="Times New Roman" w:cs="Arial"/>
          <w:color w:val="000000" w:themeColor="text1"/>
          <w:shd w:val="clear" w:color="auto" w:fill="FFFFFF"/>
          <w:lang w:eastAsia="en-GB"/>
        </w:rPr>
        <w:t> published by the House of Commons.</w:t>
      </w:r>
    </w:p>
    <w:p w14:paraId="54E8DACB" w14:textId="77777777" w:rsidR="00A42AAF" w:rsidRDefault="00A42AAF" w:rsidP="00A42AAF"/>
    <w:p w14:paraId="7433556D" w14:textId="77777777" w:rsidR="00BC65E5" w:rsidRDefault="00BC65E5" w:rsidP="00A42AAF"/>
    <w:p w14:paraId="706122A4" w14:textId="77777777" w:rsidR="00BC65E5" w:rsidRDefault="00BC65E5" w:rsidP="00A42AAF"/>
    <w:p w14:paraId="041E914A" w14:textId="77777777" w:rsidR="00A42AAF" w:rsidRDefault="00A42AAF" w:rsidP="00A42AAF"/>
    <w:tbl>
      <w:tblPr>
        <w:tblStyle w:val="TableGrid"/>
        <w:tblW w:w="9085" w:type="dxa"/>
        <w:tblLayout w:type="fixed"/>
        <w:tblLook w:val="04A0" w:firstRow="1" w:lastRow="0" w:firstColumn="1" w:lastColumn="0" w:noHBand="0" w:noVBand="1"/>
      </w:tblPr>
      <w:tblGrid>
        <w:gridCol w:w="2244"/>
        <w:gridCol w:w="6841"/>
      </w:tblGrid>
      <w:tr w:rsidR="00A42AAF" w14:paraId="774C1024" w14:textId="77777777" w:rsidTr="00BC65E5">
        <w:tc>
          <w:tcPr>
            <w:tcW w:w="9085" w:type="dxa"/>
            <w:gridSpan w:val="2"/>
          </w:tcPr>
          <w:p w14:paraId="23B87ACF" w14:textId="77777777" w:rsidR="00A42AAF" w:rsidRPr="00A42AAF" w:rsidRDefault="00A42AAF" w:rsidP="00A42AAF">
            <w:pPr>
              <w:rPr>
                <w:b/>
              </w:rPr>
            </w:pPr>
            <w:r w:rsidRPr="00A42AAF">
              <w:rPr>
                <w:b/>
              </w:rPr>
              <w:lastRenderedPageBreak/>
              <w:t>Managed moves</w:t>
            </w:r>
          </w:p>
        </w:tc>
      </w:tr>
      <w:tr w:rsidR="00A42AAF" w14:paraId="6C5D57A6" w14:textId="77777777" w:rsidTr="00BC65E5">
        <w:tc>
          <w:tcPr>
            <w:tcW w:w="2244" w:type="dxa"/>
          </w:tcPr>
          <w:p w14:paraId="3C143714" w14:textId="77777777" w:rsidR="00A42AAF" w:rsidRDefault="00A42AAF" w:rsidP="00A42AAF">
            <w:r w:rsidRPr="00A42AAF">
              <w:t>Off-rolling                       </w:t>
            </w:r>
          </w:p>
        </w:tc>
        <w:tc>
          <w:tcPr>
            <w:tcW w:w="6841" w:type="dxa"/>
          </w:tcPr>
          <w:p w14:paraId="6E91D9CC" w14:textId="77777777" w:rsidR="00A42AAF" w:rsidRDefault="00A42AAF" w:rsidP="00A42AAF">
            <w:r w:rsidRPr="00A42AAF">
              <w:t>Transferring a pupil to another school in a move that benefits the school, but where there's no clear evidence that it's in the best interests of the pupil</w:t>
            </w:r>
          </w:p>
        </w:tc>
      </w:tr>
      <w:tr w:rsidR="00A42AAF" w14:paraId="7EE8F96F" w14:textId="77777777" w:rsidTr="00BC65E5">
        <w:tc>
          <w:tcPr>
            <w:tcW w:w="2244" w:type="dxa"/>
          </w:tcPr>
          <w:p w14:paraId="53F874EA" w14:textId="77777777" w:rsidR="00A42AAF" w:rsidRDefault="00A42AAF" w:rsidP="00A42AAF">
            <w:r w:rsidRPr="00A42AAF">
              <w:t>Not off-rolling</w:t>
            </w:r>
          </w:p>
        </w:tc>
        <w:tc>
          <w:tcPr>
            <w:tcW w:w="6841" w:type="dxa"/>
          </w:tcPr>
          <w:p w14:paraId="7DAA075A" w14:textId="77777777" w:rsidR="00A42AAF" w:rsidRDefault="00A42AAF" w:rsidP="00A42AAF">
            <w:r w:rsidRPr="00A42AAF">
              <w:t>A well-thought-out placement to a setting that's demonstrably better suited to meet the pupil's needs</w:t>
            </w:r>
          </w:p>
        </w:tc>
      </w:tr>
      <w:tr w:rsidR="00A42AAF" w14:paraId="452A7961" w14:textId="77777777" w:rsidTr="00BC65E5">
        <w:tc>
          <w:tcPr>
            <w:tcW w:w="9085" w:type="dxa"/>
            <w:gridSpan w:val="2"/>
          </w:tcPr>
          <w:p w14:paraId="4AB60D56" w14:textId="77777777" w:rsidR="00A42AAF" w:rsidRDefault="00A42AAF" w:rsidP="00A42AAF">
            <w:r w:rsidRPr="00A42AAF">
              <w:rPr>
                <w:b/>
              </w:rPr>
              <w:t>Alternative provision </w:t>
            </w:r>
          </w:p>
        </w:tc>
      </w:tr>
      <w:tr w:rsidR="00A42AAF" w14:paraId="3CAEBAEF" w14:textId="77777777" w:rsidTr="00BC65E5">
        <w:tc>
          <w:tcPr>
            <w:tcW w:w="2244" w:type="dxa"/>
          </w:tcPr>
          <w:p w14:paraId="097F4F9D" w14:textId="77777777" w:rsidR="00A42AAF" w:rsidRDefault="00A42AAF" w:rsidP="00A42AAF">
            <w:r w:rsidRPr="00A42AAF">
              <w:t>Off-rolling                       </w:t>
            </w:r>
          </w:p>
        </w:tc>
        <w:tc>
          <w:tcPr>
            <w:tcW w:w="6841" w:type="dxa"/>
          </w:tcPr>
          <w:p w14:paraId="741DF78C" w14:textId="77777777" w:rsidR="00A42AAF" w:rsidRDefault="00A42AAF" w:rsidP="00A42AAF">
            <w:r w:rsidRPr="00A42AAF">
              <w:t>Moving pupils into alternative provision (AP) to prevent them from being counted in the January census</w:t>
            </w:r>
          </w:p>
        </w:tc>
      </w:tr>
      <w:tr w:rsidR="00A42AAF" w14:paraId="2963A718" w14:textId="77777777" w:rsidTr="00BC65E5">
        <w:tc>
          <w:tcPr>
            <w:tcW w:w="2244" w:type="dxa"/>
          </w:tcPr>
          <w:p w14:paraId="16462D15" w14:textId="77777777" w:rsidR="00A42AAF" w:rsidRDefault="00A42AAF" w:rsidP="00A42AAF">
            <w:r w:rsidRPr="00A42AAF">
              <w:t>Not off-rolling</w:t>
            </w:r>
          </w:p>
        </w:tc>
        <w:tc>
          <w:tcPr>
            <w:tcW w:w="6841" w:type="dxa"/>
          </w:tcPr>
          <w:p w14:paraId="1D3C3255" w14:textId="77777777" w:rsidR="00A42AAF" w:rsidRDefault="00A42AAF" w:rsidP="00A42AAF">
            <w:r w:rsidRPr="00A42AAF">
              <w:t>A well-planned direction off-site to improve the pupil's behaviour</w:t>
            </w:r>
          </w:p>
        </w:tc>
      </w:tr>
      <w:tr w:rsidR="00A42AAF" w14:paraId="09A53EBD" w14:textId="77777777" w:rsidTr="00BC65E5">
        <w:tc>
          <w:tcPr>
            <w:tcW w:w="9085" w:type="dxa"/>
            <w:gridSpan w:val="2"/>
          </w:tcPr>
          <w:p w14:paraId="6F0E10BE" w14:textId="77777777" w:rsidR="00A42AAF" w:rsidRDefault="00A42AAF" w:rsidP="00A42AAF">
            <w:r w:rsidRPr="00A42AAF">
              <w:rPr>
                <w:b/>
              </w:rPr>
              <w:t>Homeschooling</w:t>
            </w:r>
          </w:p>
        </w:tc>
      </w:tr>
      <w:tr w:rsidR="00A42AAF" w14:paraId="5AF5873C" w14:textId="77777777" w:rsidTr="00BC65E5">
        <w:tc>
          <w:tcPr>
            <w:tcW w:w="2244" w:type="dxa"/>
          </w:tcPr>
          <w:p w14:paraId="236499ED" w14:textId="77777777" w:rsidR="00A42AAF" w:rsidRDefault="00A42AAF" w:rsidP="00A42AAF">
            <w:r w:rsidRPr="00A42AAF">
              <w:t>Off-rolling                       </w:t>
            </w:r>
          </w:p>
        </w:tc>
        <w:tc>
          <w:tcPr>
            <w:tcW w:w="6841" w:type="dxa"/>
          </w:tcPr>
          <w:p w14:paraId="6571D497" w14:textId="77777777" w:rsidR="00A42AAF" w:rsidRDefault="00A42AAF" w:rsidP="00A42AAF">
            <w:r w:rsidRPr="00A42AAF">
              <w:t>Coercing parents to remove a pupil from school as the only alternative to permanent exclusion</w:t>
            </w:r>
          </w:p>
        </w:tc>
      </w:tr>
      <w:tr w:rsidR="00A42AAF" w14:paraId="24A57C32" w14:textId="77777777" w:rsidTr="00BC65E5">
        <w:tc>
          <w:tcPr>
            <w:tcW w:w="2244" w:type="dxa"/>
          </w:tcPr>
          <w:p w14:paraId="1851F598" w14:textId="77777777" w:rsidR="00A42AAF" w:rsidRDefault="00A42AAF" w:rsidP="00A42AAF">
            <w:r w:rsidRPr="00A42AAF">
              <w:t>Not off-rolling</w:t>
            </w:r>
          </w:p>
        </w:tc>
        <w:tc>
          <w:tcPr>
            <w:tcW w:w="6841" w:type="dxa"/>
          </w:tcPr>
          <w:p w14:paraId="1B47982B" w14:textId="77777777" w:rsidR="00A42AAF" w:rsidRDefault="00A42AAF" w:rsidP="00A42AAF">
            <w:r w:rsidRPr="00A42AAF">
              <w:t>Parents choose to educate their child at home for personal reasons</w:t>
            </w:r>
          </w:p>
        </w:tc>
      </w:tr>
      <w:tr w:rsidR="00A42AAF" w14:paraId="7E74993C" w14:textId="77777777" w:rsidTr="00BC65E5">
        <w:tc>
          <w:tcPr>
            <w:tcW w:w="9085" w:type="dxa"/>
            <w:gridSpan w:val="2"/>
          </w:tcPr>
          <w:p w14:paraId="7B9A4415" w14:textId="77777777" w:rsidR="00A42AAF" w:rsidRDefault="00A42AAF" w:rsidP="00A42AAF">
            <w:pPr>
              <w:rPr>
                <w:b/>
              </w:rPr>
            </w:pPr>
            <w:r w:rsidRPr="00A42AAF">
              <w:rPr>
                <w:b/>
              </w:rPr>
              <w:t>Permanent exclusion</w:t>
            </w:r>
          </w:p>
          <w:p w14:paraId="6832C320" w14:textId="77777777" w:rsidR="00A42AAF" w:rsidRPr="00A42AAF" w:rsidRDefault="00A42AAF" w:rsidP="00A42AAF">
            <w:pPr>
              <w:rPr>
                <w:b/>
              </w:rPr>
            </w:pPr>
            <w:r w:rsidRPr="00A42AAF">
              <w:t>Even in cases where a pupil is permanently excluded following a lawful process, the result may constitute off-rolling. For instance:</w:t>
            </w:r>
          </w:p>
        </w:tc>
      </w:tr>
      <w:tr w:rsidR="00A42AAF" w14:paraId="6C43AF87" w14:textId="77777777" w:rsidTr="00BC65E5">
        <w:tc>
          <w:tcPr>
            <w:tcW w:w="2244" w:type="dxa"/>
          </w:tcPr>
          <w:p w14:paraId="5A27813D" w14:textId="77777777" w:rsidR="00A42AAF" w:rsidRDefault="00A42AAF" w:rsidP="00A42AAF">
            <w:r w:rsidRPr="00A42AAF">
              <w:t>Off-rolling                       </w:t>
            </w:r>
          </w:p>
        </w:tc>
        <w:tc>
          <w:tcPr>
            <w:tcW w:w="6841" w:type="dxa"/>
          </w:tcPr>
          <w:p w14:paraId="3895F779" w14:textId="77777777" w:rsidR="00A42AAF" w:rsidRDefault="00A42AAF" w:rsidP="00A42AAF">
            <w:r w:rsidRPr="00A42AAF">
              <w:t>Permanently excluding a pupil, where a fixed-term exclusion would be more proportionate, in order to pass the cost of alternative provision on to the local authority</w:t>
            </w:r>
          </w:p>
        </w:tc>
      </w:tr>
      <w:tr w:rsidR="00A42AAF" w14:paraId="548BA9DC" w14:textId="77777777" w:rsidTr="00BC65E5">
        <w:tc>
          <w:tcPr>
            <w:tcW w:w="2244" w:type="dxa"/>
          </w:tcPr>
          <w:p w14:paraId="7BB1AE53" w14:textId="77777777" w:rsidR="00A42AAF" w:rsidRDefault="00A42AAF" w:rsidP="00A42AAF">
            <w:r w:rsidRPr="00A42AAF">
              <w:t>Not off-rolling</w:t>
            </w:r>
          </w:p>
        </w:tc>
        <w:tc>
          <w:tcPr>
            <w:tcW w:w="6841" w:type="dxa"/>
          </w:tcPr>
          <w:p w14:paraId="6A798FB9" w14:textId="77777777" w:rsidR="00A42AAF" w:rsidRDefault="00A42AAF" w:rsidP="00A42AAF">
            <w:r w:rsidRPr="00A42AAF">
              <w:t>A permanent exclusion that is lawful, rational, reasonable, fair and proportionate and done according to statutory procedure</w:t>
            </w:r>
          </w:p>
        </w:tc>
      </w:tr>
      <w:tr w:rsidR="00A42AAF" w14:paraId="3201FAC2" w14:textId="77777777" w:rsidTr="00BC65E5">
        <w:trPr>
          <w:trHeight w:val="332"/>
        </w:trPr>
        <w:tc>
          <w:tcPr>
            <w:tcW w:w="2244" w:type="dxa"/>
          </w:tcPr>
          <w:p w14:paraId="0D004E38" w14:textId="77777777" w:rsidR="00A42AAF" w:rsidRDefault="00A42AAF" w:rsidP="00A42AAF">
            <w:r w:rsidRPr="00A42AAF">
              <w:t>Off-rolling                       </w:t>
            </w:r>
          </w:p>
        </w:tc>
        <w:tc>
          <w:tcPr>
            <w:tcW w:w="6841" w:type="dxa"/>
          </w:tcPr>
          <w:p w14:paraId="5FC56008" w14:textId="77777777" w:rsidR="00A42AAF" w:rsidRDefault="00A42AAF" w:rsidP="00A42AAF">
            <w:r w:rsidRPr="00A42AAF">
              <w:t>Permanently excluding pupils with SEN/SEND because the cost of meeting their needs exceeds the funding received</w:t>
            </w:r>
          </w:p>
        </w:tc>
      </w:tr>
      <w:tr w:rsidR="00A42AAF" w14:paraId="4F57A93F" w14:textId="77777777" w:rsidTr="00BC65E5">
        <w:tc>
          <w:tcPr>
            <w:tcW w:w="2244" w:type="dxa"/>
          </w:tcPr>
          <w:p w14:paraId="10FDB4E1" w14:textId="77777777" w:rsidR="00A42AAF" w:rsidRDefault="00A42AAF" w:rsidP="00A42AAF">
            <w:r w:rsidRPr="00A42AAF">
              <w:t>Not off-rolling</w:t>
            </w:r>
          </w:p>
        </w:tc>
        <w:tc>
          <w:tcPr>
            <w:tcW w:w="6841" w:type="dxa"/>
          </w:tcPr>
          <w:p w14:paraId="7010CB64" w14:textId="77777777" w:rsidR="00A42AAF" w:rsidRDefault="00A42AAF" w:rsidP="00A42AAF">
            <w:r w:rsidRPr="00A42AAF">
              <w:t>All efforts are made for early intervention and there is coordination with parents, external services and the local authority to prevent exclusion</w:t>
            </w:r>
          </w:p>
        </w:tc>
      </w:tr>
    </w:tbl>
    <w:p w14:paraId="7104C1B5" w14:textId="77777777" w:rsidR="00A42AAF" w:rsidRPr="00A42AAF" w:rsidRDefault="00A42AAF" w:rsidP="00A42AAF"/>
    <w:p w14:paraId="00A29628" w14:textId="68BFBCD4" w:rsidR="00A42AAF" w:rsidRPr="00A42AAF" w:rsidRDefault="00A42AAF" w:rsidP="00E74BE8">
      <w:pPr>
        <w:outlineLvl w:val="2"/>
        <w:rPr>
          <w:rFonts w:eastAsia="Times New Roman" w:cs="Arial"/>
          <w:color w:val="000000" w:themeColor="text1"/>
          <w:lang w:eastAsia="en-GB"/>
        </w:rPr>
      </w:pPr>
    </w:p>
    <w:p w14:paraId="280BA106" w14:textId="3AD3C1D4" w:rsidR="00A42AAF" w:rsidRPr="00A42AAF" w:rsidRDefault="006B6C63" w:rsidP="00A42AAF">
      <w:pPr>
        <w:spacing w:after="100" w:afterAutospacing="1"/>
        <w:rPr>
          <w:rFonts w:cs="Arial"/>
          <w:color w:val="000000" w:themeColor="text1"/>
          <w:lang w:eastAsia="en-GB"/>
        </w:rPr>
      </w:pPr>
      <w:r>
        <w:rPr>
          <w:rFonts w:cs="Arial"/>
          <w:color w:val="000000" w:themeColor="text1"/>
          <w:lang w:eastAsia="en-GB"/>
        </w:rPr>
        <w:t>Specific e</w:t>
      </w:r>
      <w:r w:rsidR="00A42AAF" w:rsidRPr="00A42AAF">
        <w:rPr>
          <w:rFonts w:cs="Arial"/>
          <w:color w:val="000000" w:themeColor="text1"/>
          <w:lang w:eastAsia="en-GB"/>
        </w:rPr>
        <w:t xml:space="preserve">xamples </w:t>
      </w:r>
      <w:r w:rsidR="00810D4E">
        <w:rPr>
          <w:rFonts w:cs="Arial"/>
          <w:color w:val="000000" w:themeColor="text1"/>
          <w:lang w:eastAsia="en-GB"/>
        </w:rPr>
        <w:t xml:space="preserve">of off-rolling </w:t>
      </w:r>
      <w:r w:rsidR="00A42AAF" w:rsidRPr="00A42AAF">
        <w:rPr>
          <w:rFonts w:cs="Arial"/>
          <w:color w:val="000000" w:themeColor="text1"/>
          <w:lang w:eastAsia="en-GB"/>
        </w:rPr>
        <w:t>might include:</w:t>
      </w:r>
    </w:p>
    <w:p w14:paraId="612D33BA" w14:textId="77777777" w:rsidR="00A42AAF" w:rsidRPr="00A42AAF" w:rsidRDefault="00A42AAF" w:rsidP="00A42AAF">
      <w:pPr>
        <w:numPr>
          <w:ilvl w:val="0"/>
          <w:numId w:val="2"/>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Asking parents causing difficulty to remove their child from your school, even though the child doesn't meet the requirements for exclusion</w:t>
      </w:r>
    </w:p>
    <w:p w14:paraId="1E264A87" w14:textId="77777777" w:rsidR="00A42AAF" w:rsidRPr="00A42AAF" w:rsidRDefault="00A42AAF" w:rsidP="00A42AAF">
      <w:pPr>
        <w:numPr>
          <w:ilvl w:val="0"/>
          <w:numId w:val="2"/>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Pressuring pupils and/or their parents to voluntarily withdraw from school due to poor performance</w:t>
      </w:r>
    </w:p>
    <w:p w14:paraId="3E05DC5C" w14:textId="77777777" w:rsidR="00A42AAF" w:rsidRPr="00A42AAF" w:rsidRDefault="00A42AAF" w:rsidP="00A42AAF">
      <w:pPr>
        <w:numPr>
          <w:ilvl w:val="0"/>
          <w:numId w:val="2"/>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Pressuring parents and/or pupils to voluntarily withdraw due to persistent absence</w:t>
      </w:r>
    </w:p>
    <w:p w14:paraId="1EBBF08D" w14:textId="279C9958" w:rsidR="006B6C63" w:rsidRDefault="00A42AAF" w:rsidP="006B6C63">
      <w:pPr>
        <w:numPr>
          <w:ilvl w:val="0"/>
          <w:numId w:val="2"/>
        </w:numPr>
        <w:spacing w:before="100" w:beforeAutospacing="1" w:after="100" w:afterAutospacing="1"/>
        <w:rPr>
          <w:rFonts w:eastAsia="Times New Roman" w:cs="Arial"/>
          <w:color w:val="000000" w:themeColor="text1"/>
          <w:lang w:eastAsia="en-GB"/>
        </w:rPr>
      </w:pPr>
      <w:r w:rsidRPr="00A42AAF">
        <w:rPr>
          <w:rFonts w:eastAsia="Times New Roman" w:cs="Arial"/>
          <w:color w:val="000000" w:themeColor="text1"/>
          <w:lang w:eastAsia="en-GB"/>
        </w:rPr>
        <w:t>Pressuring parents to voluntarily withdraw because you feel unable to meet the pupil's special education and/or disability needs</w:t>
      </w:r>
    </w:p>
    <w:p w14:paraId="3DB381F6" w14:textId="7B6F2153" w:rsidR="00BC65E5" w:rsidRPr="00BC65E5" w:rsidRDefault="0090634D" w:rsidP="0090634D">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If we believe that any of our referring schools are off-rolling we will make them aware that this is unlawful.</w:t>
      </w:r>
    </w:p>
    <w:p w14:paraId="2B081B67" w14:textId="107CB94A" w:rsidR="006B6C63" w:rsidRPr="006B6C63" w:rsidRDefault="006B6C63" w:rsidP="006B6C63">
      <w:pPr>
        <w:spacing w:before="100" w:beforeAutospacing="1" w:after="100" w:afterAutospacing="1"/>
        <w:rPr>
          <w:rFonts w:eastAsia="Times New Roman" w:cs="Arial"/>
          <w:b/>
          <w:color w:val="000000" w:themeColor="text1"/>
          <w:lang w:eastAsia="en-GB"/>
        </w:rPr>
      </w:pPr>
      <w:r w:rsidRPr="006B6C63">
        <w:rPr>
          <w:rFonts w:eastAsia="Times New Roman" w:cs="Arial"/>
          <w:b/>
          <w:color w:val="000000" w:themeColor="text1"/>
          <w:lang w:eastAsia="en-GB"/>
        </w:rPr>
        <w:t>A dual registered approach</w:t>
      </w:r>
    </w:p>
    <w:p w14:paraId="71101183" w14:textId="2E104BE8" w:rsidR="006B6C63" w:rsidRDefault="006B6C63" w:rsidP="006B6C63">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The majority of the students at MVLA are dual registered.  This means that they remain on the school role at their referral school. Attendance and any excl</w:t>
      </w:r>
      <w:r w:rsidR="00515C0B">
        <w:rPr>
          <w:rFonts w:eastAsia="Times New Roman" w:cs="Arial"/>
          <w:color w:val="000000" w:themeColor="text1"/>
          <w:lang w:eastAsia="en-GB"/>
        </w:rPr>
        <w:t>usions during their time at Manchester Vocational and Learning Academy</w:t>
      </w:r>
      <w:r>
        <w:rPr>
          <w:rFonts w:eastAsia="Times New Roman" w:cs="Arial"/>
          <w:color w:val="000000" w:themeColor="text1"/>
          <w:lang w:eastAsia="en-GB"/>
        </w:rPr>
        <w:t xml:space="preserve"> is reported to</w:t>
      </w:r>
      <w:r w:rsidR="00BC65E5">
        <w:rPr>
          <w:rFonts w:eastAsia="Times New Roman" w:cs="Arial"/>
          <w:color w:val="000000" w:themeColor="text1"/>
          <w:lang w:eastAsia="en-GB"/>
        </w:rPr>
        <w:t xml:space="preserve"> the referral school daily and should be r</w:t>
      </w:r>
      <w:r>
        <w:rPr>
          <w:rFonts w:eastAsia="Times New Roman" w:cs="Arial"/>
          <w:color w:val="000000" w:themeColor="text1"/>
          <w:lang w:eastAsia="en-GB"/>
        </w:rPr>
        <w:t>ecorded on their own systems.</w:t>
      </w:r>
      <w:r w:rsidR="00BC65E5">
        <w:rPr>
          <w:rFonts w:eastAsia="Times New Roman" w:cs="Arial"/>
          <w:color w:val="000000" w:themeColor="text1"/>
          <w:lang w:eastAsia="en-GB"/>
        </w:rPr>
        <w:t xml:space="preserve"> </w:t>
      </w:r>
    </w:p>
    <w:p w14:paraId="42C5EEC3" w14:textId="190AC92E" w:rsidR="00515C0B" w:rsidRDefault="00515C0B" w:rsidP="006B6C63">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 xml:space="preserve">When a referring school has an Ofsted inspection, the inspection </w:t>
      </w:r>
      <w:r w:rsidR="00EC03DB">
        <w:rPr>
          <w:rFonts w:eastAsia="Times New Roman" w:cs="Arial"/>
          <w:color w:val="000000" w:themeColor="text1"/>
          <w:lang w:eastAsia="en-GB"/>
        </w:rPr>
        <w:t xml:space="preserve">team will usually explore </w:t>
      </w:r>
      <w:r>
        <w:rPr>
          <w:rFonts w:eastAsia="Times New Roman" w:cs="Arial"/>
          <w:color w:val="000000" w:themeColor="text1"/>
          <w:lang w:eastAsia="en-GB"/>
        </w:rPr>
        <w:t>the suitability of any alternative provision placements. We fully co-op</w:t>
      </w:r>
      <w:r w:rsidR="00FB4822">
        <w:rPr>
          <w:rFonts w:eastAsia="Times New Roman" w:cs="Arial"/>
          <w:color w:val="000000" w:themeColor="text1"/>
          <w:lang w:eastAsia="en-GB"/>
        </w:rPr>
        <w:t>erate with these</w:t>
      </w:r>
      <w:r>
        <w:rPr>
          <w:rFonts w:eastAsia="Times New Roman" w:cs="Arial"/>
          <w:color w:val="000000" w:themeColor="text1"/>
          <w:lang w:eastAsia="en-GB"/>
        </w:rPr>
        <w:t xml:space="preserve"> inspections. We will make all paperwork and records available to the inspection team and answ</w:t>
      </w:r>
      <w:r w:rsidR="00EC03DB">
        <w:rPr>
          <w:rFonts w:eastAsia="Times New Roman" w:cs="Arial"/>
          <w:color w:val="000000" w:themeColor="text1"/>
          <w:lang w:eastAsia="en-GB"/>
        </w:rPr>
        <w:t>er any questions that they have.</w:t>
      </w:r>
      <w:r w:rsidR="00FB4822">
        <w:rPr>
          <w:rFonts w:eastAsia="Times New Roman" w:cs="Arial"/>
          <w:color w:val="000000" w:themeColor="text1"/>
          <w:lang w:eastAsia="en-GB"/>
        </w:rPr>
        <w:t xml:space="preserve"> We believe that Ofsted play an important role in keeping students safe and welcome these discussions.</w:t>
      </w:r>
    </w:p>
    <w:p w14:paraId="5066995A" w14:textId="05810C6A" w:rsidR="006B6C63" w:rsidRDefault="00515C0B" w:rsidP="006B6C63">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 xml:space="preserve">The single registered students we have on roll are all referred through Manchester LA. </w:t>
      </w:r>
    </w:p>
    <w:p w14:paraId="0B160457" w14:textId="03653F0D" w:rsidR="006B6C63" w:rsidRPr="00BC65E5" w:rsidRDefault="00BC65E5" w:rsidP="006B6C63">
      <w:pPr>
        <w:spacing w:before="100" w:beforeAutospacing="1" w:after="100" w:afterAutospacing="1"/>
        <w:rPr>
          <w:rFonts w:eastAsia="Times New Roman" w:cs="Arial"/>
          <w:b/>
          <w:color w:val="000000" w:themeColor="text1"/>
          <w:lang w:eastAsia="en-GB"/>
        </w:rPr>
      </w:pPr>
      <w:r>
        <w:rPr>
          <w:rFonts w:eastAsia="Times New Roman" w:cs="Arial"/>
          <w:b/>
          <w:color w:val="000000" w:themeColor="text1"/>
          <w:lang w:eastAsia="en-GB"/>
        </w:rPr>
        <w:t>Return to school</w:t>
      </w:r>
    </w:p>
    <w:p w14:paraId="66B12DA2" w14:textId="0726F220" w:rsidR="006B6C63" w:rsidRDefault="00BC65E5" w:rsidP="006B6C63">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 xml:space="preserve">Our aspiration is that, where possible, students should return to their mainstream school as quickly as possible. We request regular meetings with referral schools to review each student’s progress towards returning to school. </w:t>
      </w:r>
    </w:p>
    <w:p w14:paraId="7F5F5403" w14:textId="0F394DDE" w:rsidR="00BC65E5" w:rsidRDefault="00BC65E5" w:rsidP="006B6C63">
      <w:pPr>
        <w:spacing w:before="100" w:beforeAutospacing="1" w:after="100" w:afterAutospacing="1"/>
        <w:rPr>
          <w:rFonts w:eastAsia="Times New Roman" w:cs="Arial"/>
          <w:color w:val="000000" w:themeColor="text1"/>
          <w:lang w:eastAsia="en-GB"/>
        </w:rPr>
      </w:pPr>
      <w:r>
        <w:rPr>
          <w:rFonts w:eastAsia="Times New Roman" w:cs="Arial"/>
          <w:color w:val="000000" w:themeColor="text1"/>
          <w:lang w:eastAsia="en-GB"/>
        </w:rPr>
        <w:t>It is our expectation that when a student is ready to return to school that the referral school will re-admit the student.  Manchester Vocational and Learning Academy reserves the right to end a student’s contract when they feel that the student is school ready.</w:t>
      </w:r>
    </w:p>
    <w:p w14:paraId="25FB5C87" w14:textId="77777777" w:rsidR="006B6C63" w:rsidRPr="00A42AAF" w:rsidRDefault="006B6C63" w:rsidP="006B6C63">
      <w:pPr>
        <w:spacing w:before="100" w:beforeAutospacing="1" w:after="100" w:afterAutospacing="1"/>
        <w:rPr>
          <w:rFonts w:eastAsia="Times New Roman" w:cs="Arial"/>
          <w:color w:val="000000" w:themeColor="text1"/>
          <w:lang w:eastAsia="en-GB"/>
        </w:rPr>
      </w:pPr>
    </w:p>
    <w:p w14:paraId="0F07D107" w14:textId="77777777" w:rsidR="00A42AAF" w:rsidRPr="00A42AAF" w:rsidRDefault="00A42AAF" w:rsidP="00A42AAF">
      <w:pPr>
        <w:rPr>
          <w:rFonts w:eastAsia="Times New Roman" w:cs="Times New Roman"/>
          <w:color w:val="000000" w:themeColor="text1"/>
          <w:lang w:eastAsia="en-GB"/>
        </w:rPr>
      </w:pPr>
    </w:p>
    <w:p w14:paraId="39EAB63D" w14:textId="77777777" w:rsidR="00A42AAF" w:rsidRPr="00A42AAF" w:rsidRDefault="00A42AAF">
      <w:pPr>
        <w:rPr>
          <w:color w:val="000000" w:themeColor="text1"/>
          <w:sz w:val="22"/>
          <w:szCs w:val="22"/>
        </w:rPr>
      </w:pPr>
    </w:p>
    <w:sectPr w:rsidR="00A42AAF" w:rsidRPr="00A42AAF" w:rsidSect="00076A3A">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96B23" w14:textId="77777777" w:rsidR="00D25899" w:rsidRDefault="00D25899" w:rsidP="00BC65E5">
      <w:r>
        <w:separator/>
      </w:r>
    </w:p>
  </w:endnote>
  <w:endnote w:type="continuationSeparator" w:id="0">
    <w:p w14:paraId="1CD9A7A9" w14:textId="77777777" w:rsidR="00D25899" w:rsidRDefault="00D25899" w:rsidP="00BC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19D5" w14:textId="77777777" w:rsidR="00D25899" w:rsidRDefault="00D25899" w:rsidP="00BC65E5">
      <w:r>
        <w:separator/>
      </w:r>
    </w:p>
  </w:footnote>
  <w:footnote w:type="continuationSeparator" w:id="0">
    <w:p w14:paraId="611F0783" w14:textId="77777777" w:rsidR="00D25899" w:rsidRDefault="00D25899" w:rsidP="00BC65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2B9F" w14:textId="58A4B1DB" w:rsidR="00BC65E5" w:rsidRDefault="00BC65E5">
    <w:pPr>
      <w:pStyle w:val="Header"/>
    </w:pPr>
    <w:r>
      <w:rPr>
        <w:noProof/>
        <w:lang w:eastAsia="en-GB"/>
      </w:rPr>
      <w:drawing>
        <wp:anchor distT="0" distB="0" distL="114300" distR="114300" simplePos="0" relativeHeight="251658240" behindDoc="0" locked="0" layoutInCell="1" allowOverlap="1" wp14:anchorId="0EBC3DA3" wp14:editId="04C109AC">
          <wp:simplePos x="0" y="0"/>
          <wp:positionH relativeFrom="column">
            <wp:posOffset>4852035</wp:posOffset>
          </wp:positionH>
          <wp:positionV relativeFrom="paragraph">
            <wp:posOffset>-340995</wp:posOffset>
          </wp:positionV>
          <wp:extent cx="1160780" cy="721995"/>
          <wp:effectExtent l="0" t="0" r="7620" b="0"/>
          <wp:wrapTight wrapText="bothSides">
            <wp:wrapPolygon edited="0">
              <wp:start x="0" y="0"/>
              <wp:lineTo x="0" y="20517"/>
              <wp:lineTo x="21269" y="20517"/>
              <wp:lineTo x="21269" y="0"/>
              <wp:lineTo x="0" y="0"/>
            </wp:wrapPolygon>
          </wp:wrapTight>
          <wp:docPr id="1" name="Picture 1" descr="../../Screenshot%202019-11-21%20at%2009.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019-11-21%20at%2009.4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77A48"/>
    <w:multiLevelType w:val="multilevel"/>
    <w:tmpl w:val="DE52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E05CD"/>
    <w:multiLevelType w:val="multilevel"/>
    <w:tmpl w:val="763E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44"/>
    <w:rsid w:val="00076A3A"/>
    <w:rsid w:val="001820C3"/>
    <w:rsid w:val="002A6B79"/>
    <w:rsid w:val="00515C0B"/>
    <w:rsid w:val="0056390F"/>
    <w:rsid w:val="006B6C63"/>
    <w:rsid w:val="006F2B02"/>
    <w:rsid w:val="00725A98"/>
    <w:rsid w:val="00810D4E"/>
    <w:rsid w:val="00892A28"/>
    <w:rsid w:val="0090634D"/>
    <w:rsid w:val="00A23703"/>
    <w:rsid w:val="00A42AAF"/>
    <w:rsid w:val="00BC65E5"/>
    <w:rsid w:val="00C02CEF"/>
    <w:rsid w:val="00CB16AF"/>
    <w:rsid w:val="00D03B44"/>
    <w:rsid w:val="00D25899"/>
    <w:rsid w:val="00E74BE8"/>
    <w:rsid w:val="00EC03DB"/>
    <w:rsid w:val="00F15822"/>
    <w:rsid w:val="00FB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0E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42AA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AA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A42AAF"/>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A42AAF"/>
  </w:style>
  <w:style w:type="character" w:styleId="Strong">
    <w:name w:val="Strong"/>
    <w:basedOn w:val="DefaultParagraphFont"/>
    <w:uiPriority w:val="22"/>
    <w:qFormat/>
    <w:rsid w:val="00A42AAF"/>
    <w:rPr>
      <w:b/>
      <w:bCs/>
    </w:rPr>
  </w:style>
  <w:style w:type="character" w:styleId="Hyperlink">
    <w:name w:val="Hyperlink"/>
    <w:basedOn w:val="DefaultParagraphFont"/>
    <w:uiPriority w:val="99"/>
    <w:semiHidden/>
    <w:unhideWhenUsed/>
    <w:rsid w:val="00A42AAF"/>
    <w:rPr>
      <w:color w:val="0000FF"/>
      <w:u w:val="single"/>
    </w:rPr>
  </w:style>
  <w:style w:type="table" w:styleId="TableGrid">
    <w:name w:val="Table Grid"/>
    <w:basedOn w:val="TableNormal"/>
    <w:uiPriority w:val="39"/>
    <w:rsid w:val="00A42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D4E"/>
    <w:pPr>
      <w:ind w:left="720"/>
      <w:contextualSpacing/>
    </w:pPr>
  </w:style>
  <w:style w:type="paragraph" w:styleId="Header">
    <w:name w:val="header"/>
    <w:basedOn w:val="Normal"/>
    <w:link w:val="HeaderChar"/>
    <w:uiPriority w:val="99"/>
    <w:unhideWhenUsed/>
    <w:rsid w:val="00BC65E5"/>
    <w:pPr>
      <w:tabs>
        <w:tab w:val="center" w:pos="4513"/>
        <w:tab w:val="right" w:pos="9026"/>
      </w:tabs>
    </w:pPr>
  </w:style>
  <w:style w:type="character" w:customStyle="1" w:styleId="HeaderChar">
    <w:name w:val="Header Char"/>
    <w:basedOn w:val="DefaultParagraphFont"/>
    <w:link w:val="Header"/>
    <w:uiPriority w:val="99"/>
    <w:rsid w:val="00BC65E5"/>
  </w:style>
  <w:style w:type="paragraph" w:styleId="Footer">
    <w:name w:val="footer"/>
    <w:basedOn w:val="Normal"/>
    <w:link w:val="FooterChar"/>
    <w:uiPriority w:val="99"/>
    <w:unhideWhenUsed/>
    <w:rsid w:val="00BC65E5"/>
    <w:pPr>
      <w:tabs>
        <w:tab w:val="center" w:pos="4513"/>
        <w:tab w:val="right" w:pos="9026"/>
      </w:tabs>
    </w:pPr>
  </w:style>
  <w:style w:type="character" w:customStyle="1" w:styleId="FooterChar">
    <w:name w:val="Footer Char"/>
    <w:basedOn w:val="DefaultParagraphFont"/>
    <w:link w:val="Footer"/>
    <w:uiPriority w:val="99"/>
    <w:rsid w:val="00BC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6721">
      <w:bodyDiv w:val="1"/>
      <w:marLeft w:val="0"/>
      <w:marRight w:val="0"/>
      <w:marTop w:val="0"/>
      <w:marBottom w:val="0"/>
      <w:divBdr>
        <w:top w:val="none" w:sz="0" w:space="0" w:color="auto"/>
        <w:left w:val="none" w:sz="0" w:space="0" w:color="auto"/>
        <w:bottom w:val="none" w:sz="0" w:space="0" w:color="auto"/>
        <w:right w:val="none" w:sz="0" w:space="0" w:color="auto"/>
      </w:divBdr>
    </w:div>
    <w:div w:id="1068921966">
      <w:bodyDiv w:val="1"/>
      <w:marLeft w:val="0"/>
      <w:marRight w:val="0"/>
      <w:marTop w:val="0"/>
      <w:marBottom w:val="0"/>
      <w:divBdr>
        <w:top w:val="none" w:sz="0" w:space="0" w:color="auto"/>
        <w:left w:val="none" w:sz="0" w:space="0" w:color="auto"/>
        <w:bottom w:val="none" w:sz="0" w:space="0" w:color="auto"/>
        <w:right w:val="none" w:sz="0" w:space="0" w:color="auto"/>
      </w:divBdr>
    </w:div>
    <w:div w:id="1225406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v.uk/government/publications/school-inspection-update-academic-year-2018-to-2019" TargetMode="External"/><Relationship Id="rId8" Type="http://schemas.openxmlformats.org/officeDocument/2006/relationships/hyperlink" Target="https://researchbriefings.parliament.uk/ResearchBriefing/Summary/CBP-8444"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887</Words>
  <Characters>5062</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Unlawful exclusion </vt:lpstr>
      <vt:lpstr>        </vt:lpstr>
      <vt:lpstr>        </vt:lpstr>
    </vt:vector>
  </TitlesOfParts>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Guest</dc:creator>
  <cp:keywords/>
  <dc:description/>
  <cp:lastModifiedBy>Linda Guest</cp:lastModifiedBy>
  <cp:revision>7</cp:revision>
  <dcterms:created xsi:type="dcterms:W3CDTF">2020-10-09T09:59:00Z</dcterms:created>
  <dcterms:modified xsi:type="dcterms:W3CDTF">2020-10-23T10:57:00Z</dcterms:modified>
</cp:coreProperties>
</file>